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2D75" w:rsidRDefault="00D22D75" w:rsidP="00D22D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ja-JP"/>
        </w:rPr>
        <w:t xml:space="preserve">RAN5 </w:t>
      </w:r>
      <w:r w:rsidRPr="00FD2E08">
        <w:rPr>
          <w:b/>
          <w:noProof/>
          <w:sz w:val="24"/>
          <w:lang w:eastAsia="ja-JP"/>
        </w:rPr>
        <w:t>#</w:t>
      </w:r>
      <w:r>
        <w:rPr>
          <w:b/>
          <w:noProof/>
          <w:sz w:val="24"/>
          <w:lang w:eastAsia="ja-JP"/>
        </w:rPr>
        <w:t>82</w:t>
      </w:r>
      <w:r>
        <w:rPr>
          <w:b/>
          <w:i/>
          <w:noProof/>
          <w:sz w:val="28"/>
        </w:rPr>
        <w:tab/>
      </w:r>
      <w:r w:rsidR="00D0352F" w:rsidRPr="00D0352F">
        <w:rPr>
          <w:b/>
          <w:i/>
          <w:noProof/>
          <w:sz w:val="28"/>
        </w:rPr>
        <w:t>R5-191617</w:t>
      </w:r>
    </w:p>
    <w:p w:rsidR="00D22D75" w:rsidRPr="00720485" w:rsidRDefault="00D22D75" w:rsidP="00D22D75">
      <w:pPr>
        <w:pStyle w:val="CRCoverPage"/>
        <w:outlineLvl w:val="0"/>
        <w:rPr>
          <w:rFonts w:cs="Arial"/>
          <w:b/>
          <w:bCs/>
          <w:noProof/>
          <w:sz w:val="24"/>
          <w:szCs w:val="24"/>
          <w:lang w:eastAsia="ja-JP"/>
        </w:rPr>
      </w:pPr>
      <w:r>
        <w:rPr>
          <w:b/>
          <w:noProof/>
          <w:sz w:val="24"/>
          <w:lang w:eastAsia="ja-JP"/>
        </w:rPr>
        <w:t>Athens</w:t>
      </w:r>
      <w:r>
        <w:rPr>
          <w:rFonts w:hint="eastAsia"/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Greece</w:t>
      </w:r>
      <w:r w:rsidRPr="005678AD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ja-JP"/>
        </w:rPr>
        <w:t>2</w:t>
      </w:r>
      <w:r>
        <w:rPr>
          <w:b/>
          <w:noProof/>
          <w:sz w:val="24"/>
          <w:lang w:eastAsia="ja-JP"/>
        </w:rPr>
        <w:t>5</w:t>
      </w:r>
      <w:r w:rsidRPr="00EA5E53">
        <w:rPr>
          <w:b/>
          <w:noProof/>
          <w:sz w:val="24"/>
          <w:vertAlign w:val="superscript"/>
          <w:lang w:eastAsia="ja-JP"/>
        </w:rPr>
        <w:t>th</w:t>
      </w:r>
      <w:r>
        <w:rPr>
          <w:b/>
          <w:noProof/>
          <w:sz w:val="24"/>
          <w:lang w:eastAsia="ja-JP"/>
        </w:rPr>
        <w:t xml:space="preserve"> Feb- 1</w:t>
      </w:r>
      <w:r w:rsidRPr="00EA5E53">
        <w:rPr>
          <w:b/>
          <w:noProof/>
          <w:sz w:val="24"/>
          <w:vertAlign w:val="superscript"/>
          <w:lang w:eastAsia="ja-JP"/>
        </w:rPr>
        <w:t>st</w:t>
      </w:r>
      <w:r>
        <w:rPr>
          <w:b/>
          <w:noProof/>
          <w:sz w:val="24"/>
          <w:lang w:eastAsia="ja-JP"/>
        </w:rPr>
        <w:t xml:space="preserve"> Mar</w:t>
      </w:r>
      <w:r w:rsidRPr="005678AD">
        <w:rPr>
          <w:rFonts w:hint="eastAsia"/>
          <w:b/>
          <w:noProof/>
          <w:sz w:val="24"/>
        </w:rPr>
        <w:t xml:space="preserve"> 201</w:t>
      </w:r>
      <w:r>
        <w:rPr>
          <w:rFonts w:hint="eastAsia"/>
          <w:b/>
          <w:noProof/>
          <w:sz w:val="24"/>
          <w:lang w:eastAsia="ja-JP"/>
        </w:rPr>
        <w:t>9</w:t>
      </w:r>
    </w:p>
    <w:p w:rsidR="00D22D75" w:rsidRPr="007973F8" w:rsidRDefault="00D22D75" w:rsidP="00D22D75">
      <w:pPr>
        <w:spacing w:before="120" w:after="120"/>
        <w:rPr>
          <w:rFonts w:ascii="Arial" w:hAnsi="Arial"/>
          <w:lang w:val="pt-BR"/>
        </w:rPr>
      </w:pPr>
      <w:r w:rsidRPr="00A972DC">
        <w:rPr>
          <w:rFonts w:ascii="Arial" w:eastAsia="MS Mincho" w:hAnsi="Arial"/>
          <w:b/>
          <w:sz w:val="24"/>
          <w:lang w:eastAsia="en-US"/>
        </w:rPr>
        <w:t>Title:</w:t>
      </w:r>
      <w:r w:rsidRPr="00A972DC">
        <w:rPr>
          <w:rFonts w:ascii="Arial" w:eastAsia="MS Mincho" w:hAnsi="Arial"/>
          <w:b/>
          <w:sz w:val="24"/>
          <w:lang w:eastAsia="en-US"/>
        </w:rPr>
        <w:tab/>
      </w:r>
      <w:r w:rsidRPr="00A972DC">
        <w:rPr>
          <w:rFonts w:ascii="Arial" w:eastAsia="MS Mincho" w:hAnsi="Arial"/>
          <w:b/>
          <w:sz w:val="24"/>
          <w:lang w:eastAsia="en-US"/>
        </w:rPr>
        <w:tab/>
      </w:r>
      <w:r w:rsidRPr="00A972DC">
        <w:rPr>
          <w:rFonts w:ascii="Arial" w:eastAsia="MS Mincho" w:hAnsi="Arial"/>
          <w:sz w:val="24"/>
        </w:rPr>
        <w:tab/>
      </w:r>
      <w:r w:rsidRPr="00A972DC">
        <w:rPr>
          <w:rFonts w:ascii="Arial" w:eastAsia="MS Mincho" w:hAnsi="Arial"/>
          <w:sz w:val="24"/>
        </w:rPr>
        <w:tab/>
      </w:r>
      <w:r w:rsidRPr="007973F8">
        <w:rPr>
          <w:rFonts w:ascii="Arial" w:hAnsi="Arial"/>
          <w:lang w:val="pt-BR"/>
        </w:rPr>
        <w:t xml:space="preserve">On </w:t>
      </w:r>
      <w:r w:rsidR="00AB5AFB">
        <w:rPr>
          <w:rFonts w:ascii="Arial" w:hAnsi="Arial"/>
          <w:lang w:val="pt-BR"/>
        </w:rPr>
        <w:t>OBW</w:t>
      </w:r>
      <w:r w:rsidR="00A97A47">
        <w:rPr>
          <w:rFonts w:ascii="Arial" w:hAnsi="Arial"/>
          <w:lang w:val="pt-BR"/>
        </w:rPr>
        <w:t xml:space="preserve"> measurement uncertainty</w:t>
      </w:r>
    </w:p>
    <w:p w:rsidR="00D22D75" w:rsidRDefault="00D22D75" w:rsidP="00D22D75">
      <w:pPr>
        <w:spacing w:before="120" w:after="120"/>
        <w:ind w:left="1985" w:hanging="1985"/>
        <w:rPr>
          <w:rFonts w:ascii="Arial" w:hAnsi="Arial"/>
        </w:rPr>
      </w:pPr>
      <w:r w:rsidRPr="00A972DC">
        <w:rPr>
          <w:rFonts w:ascii="Arial" w:eastAsia="MS Mincho" w:hAnsi="Arial"/>
          <w:b/>
          <w:sz w:val="24"/>
          <w:lang w:eastAsia="en-US"/>
        </w:rPr>
        <w:t>Source: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 w:rsidRPr="007973F8">
        <w:rPr>
          <w:rFonts w:ascii="Arial" w:hAnsi="Arial"/>
          <w:lang w:val="pt-BR"/>
        </w:rPr>
        <w:t>Keysight Technologies</w:t>
      </w:r>
    </w:p>
    <w:p w:rsidR="00D22D75" w:rsidRPr="004C4437" w:rsidRDefault="00D22D75" w:rsidP="00D22D75">
      <w:pPr>
        <w:spacing w:before="120" w:after="120"/>
        <w:ind w:left="1985" w:hanging="1985"/>
        <w:rPr>
          <w:rFonts w:ascii="Arial" w:eastAsia="MS Mincho" w:hAnsi="Arial"/>
          <w:sz w:val="28"/>
          <w:lang w:val="pt-BR"/>
        </w:rPr>
      </w:pPr>
      <w:r w:rsidRPr="00A972DC">
        <w:rPr>
          <w:rFonts w:ascii="Arial" w:eastAsia="MS Mincho" w:hAnsi="Arial"/>
          <w:b/>
          <w:sz w:val="24"/>
          <w:lang w:val="pt-BR" w:eastAsia="en-US"/>
        </w:rPr>
        <w:t>Agenda Item:</w:t>
      </w:r>
      <w:r w:rsidRPr="00DD1D00">
        <w:rPr>
          <w:rFonts w:ascii="Arial" w:hAnsi="Arial"/>
          <w:lang w:val="pt-BR"/>
        </w:rPr>
        <w:tab/>
      </w:r>
      <w:r w:rsidRPr="00DD1D00">
        <w:rPr>
          <w:rFonts w:ascii="Arial" w:hAnsi="Arial"/>
          <w:lang w:val="pt-BR"/>
        </w:rPr>
        <w:tab/>
      </w:r>
      <w:r w:rsidRPr="00DD1D00">
        <w:rPr>
          <w:rFonts w:ascii="Arial" w:hAnsi="Arial"/>
          <w:lang w:val="pt-BR"/>
        </w:rPr>
        <w:tab/>
      </w:r>
      <w:r w:rsidRPr="007973F8">
        <w:rPr>
          <w:rFonts w:ascii="Arial" w:hAnsi="Arial"/>
          <w:lang w:val="pt-BR"/>
        </w:rPr>
        <w:t>5.3.8.1</w:t>
      </w:r>
      <w:r w:rsidR="00372A98">
        <w:rPr>
          <w:rFonts w:ascii="Arial" w:hAnsi="Arial"/>
          <w:lang w:val="pt-BR"/>
        </w:rPr>
        <w:t>7</w:t>
      </w:r>
    </w:p>
    <w:p w:rsidR="00D22D75" w:rsidRPr="003134B7" w:rsidRDefault="00D22D75" w:rsidP="00D22D75">
      <w:pPr>
        <w:spacing w:before="120" w:after="120"/>
        <w:ind w:left="1985" w:hanging="1985"/>
        <w:rPr>
          <w:rFonts w:ascii="Arial" w:eastAsia="MS Mincho" w:hAnsi="Arial"/>
          <w:lang w:val="pt-BR"/>
        </w:rPr>
      </w:pPr>
      <w:r w:rsidRPr="00A972DC">
        <w:rPr>
          <w:rFonts w:ascii="Arial" w:eastAsia="MS Mincho" w:hAnsi="Arial"/>
          <w:b/>
          <w:sz w:val="24"/>
          <w:lang w:val="pt-BR" w:eastAsia="en-US"/>
        </w:rPr>
        <w:t>Document for:</w:t>
      </w:r>
      <w:r w:rsidRPr="00DD1D00">
        <w:rPr>
          <w:rFonts w:ascii="Arial" w:hAnsi="Arial"/>
          <w:lang w:val="pt-BR"/>
        </w:rPr>
        <w:tab/>
      </w:r>
      <w:r w:rsidRPr="00DD1D00">
        <w:rPr>
          <w:rFonts w:ascii="Arial" w:hAnsi="Arial"/>
          <w:lang w:val="pt-BR"/>
        </w:rPr>
        <w:tab/>
      </w:r>
      <w:r w:rsidRPr="00DD1D00">
        <w:rPr>
          <w:rFonts w:ascii="Arial" w:hAnsi="Arial"/>
          <w:lang w:val="pt-BR"/>
        </w:rPr>
        <w:tab/>
      </w:r>
      <w:r w:rsidR="00C36BA8">
        <w:rPr>
          <w:rFonts w:ascii="Arial" w:hAnsi="Arial"/>
          <w:lang w:val="pt-BR"/>
        </w:rPr>
        <w:t>Endorsement</w:t>
      </w:r>
      <w:r w:rsidRPr="00561F6A">
        <w:rPr>
          <w:rFonts w:ascii="Arial" w:eastAsia="MS Mincho" w:hAnsi="Arial" w:hint="eastAsia"/>
          <w:sz w:val="24"/>
          <w:lang w:val="pt-BR"/>
        </w:rPr>
        <w:t xml:space="preserve"> </w:t>
      </w:r>
    </w:p>
    <w:p w:rsidR="00D22D75" w:rsidRPr="00DD1D00" w:rsidRDefault="00D22D75" w:rsidP="00D22D75">
      <w:pPr>
        <w:pBdr>
          <w:bottom w:val="single" w:sz="4" w:space="1" w:color="auto"/>
        </w:pBdr>
        <w:spacing w:before="120" w:after="120"/>
        <w:rPr>
          <w:rFonts w:ascii="Arial" w:hAnsi="Arial"/>
          <w:lang w:val="pt-BR"/>
        </w:rPr>
      </w:pPr>
    </w:p>
    <w:p w:rsidR="00D22D75" w:rsidRPr="00A33974" w:rsidRDefault="00D22D75" w:rsidP="00D22D75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b/>
          <w:noProof w:val="0"/>
          <w:lang w:eastAsia="ja-JP"/>
        </w:rPr>
      </w:pPr>
      <w:r w:rsidRPr="00A33974">
        <w:rPr>
          <w:b/>
          <w:noProof w:val="0"/>
        </w:rPr>
        <w:t>1.</w:t>
      </w:r>
      <w:r w:rsidRPr="00A33974">
        <w:rPr>
          <w:b/>
          <w:noProof w:val="0"/>
        </w:rPr>
        <w:tab/>
        <w:t>Introduction</w:t>
      </w:r>
    </w:p>
    <w:p w:rsidR="00A97A47" w:rsidRPr="00C36BA8" w:rsidRDefault="00D22D75" w:rsidP="00D22D75">
      <w:pPr>
        <w:spacing w:before="120" w:after="120"/>
        <w:rPr>
          <w:rFonts w:eastAsia="MS Mincho"/>
          <w:sz w:val="22"/>
          <w:lang w:val="en-GB"/>
        </w:rPr>
      </w:pPr>
      <w:r w:rsidRPr="00C36BA8">
        <w:rPr>
          <w:rFonts w:eastAsia="MS Mincho"/>
          <w:sz w:val="22"/>
          <w:lang w:val="en-GB"/>
        </w:rPr>
        <w:t xml:space="preserve">Latest version of TR38.903 ([1] + [2]) </w:t>
      </w:r>
      <w:r w:rsidR="00AB5AFB" w:rsidRPr="00C36BA8">
        <w:rPr>
          <w:rFonts w:eastAsia="MS Mincho"/>
          <w:sz w:val="22"/>
          <w:lang w:val="en-GB"/>
        </w:rPr>
        <w:t>doesn’t contain the specification for OBW measurement uncertainty for FR2</w:t>
      </w:r>
      <w:r w:rsidR="00A97A47" w:rsidRPr="00C36BA8">
        <w:rPr>
          <w:rFonts w:eastAsia="MS Mincho"/>
          <w:sz w:val="22"/>
          <w:lang w:val="en-GB"/>
        </w:rPr>
        <w:t xml:space="preserve"> for an IFF testing methodology.</w:t>
      </w:r>
    </w:p>
    <w:p w:rsidR="00D22D75" w:rsidRPr="00C36BA8" w:rsidRDefault="00D22D75" w:rsidP="00D22D75">
      <w:pPr>
        <w:spacing w:before="120" w:after="120"/>
        <w:rPr>
          <w:rFonts w:eastAsia="MS Mincho"/>
          <w:sz w:val="22"/>
          <w:lang w:val="en-GB"/>
        </w:rPr>
      </w:pPr>
      <w:r w:rsidRPr="00C36BA8">
        <w:rPr>
          <w:rFonts w:eastAsia="MS Mincho" w:hint="eastAsia"/>
          <w:sz w:val="22"/>
          <w:lang w:val="en-GB"/>
        </w:rPr>
        <w:t xml:space="preserve">This contribution </w:t>
      </w:r>
      <w:r w:rsidR="00AB5AFB" w:rsidRPr="00C36BA8">
        <w:rPr>
          <w:rFonts w:eastAsia="MS Mincho"/>
          <w:sz w:val="22"/>
          <w:lang w:val="en-GB"/>
        </w:rPr>
        <w:t>provides company views on this</w:t>
      </w:r>
      <w:r w:rsidRPr="00C36BA8">
        <w:rPr>
          <w:rFonts w:eastAsia="MS Mincho"/>
          <w:sz w:val="22"/>
          <w:lang w:val="en-GB"/>
        </w:rPr>
        <w:t xml:space="preserve"> topic and makes proposals to conclude this discussion.</w:t>
      </w:r>
    </w:p>
    <w:p w:rsidR="00D22D75" w:rsidRDefault="00D22D75" w:rsidP="00D22D75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b/>
          <w:noProof w:val="0"/>
          <w:lang w:eastAsia="ja-JP"/>
        </w:rPr>
      </w:pPr>
      <w:r>
        <w:rPr>
          <w:rFonts w:hint="eastAsia"/>
          <w:b/>
          <w:noProof w:val="0"/>
          <w:lang w:eastAsia="ja-JP"/>
        </w:rPr>
        <w:t>2</w:t>
      </w:r>
      <w:r w:rsidRPr="00A33974">
        <w:rPr>
          <w:b/>
          <w:noProof w:val="0"/>
        </w:rPr>
        <w:t>.</w:t>
      </w:r>
      <w:r w:rsidRPr="00A33974">
        <w:rPr>
          <w:b/>
          <w:noProof w:val="0"/>
        </w:rPr>
        <w:tab/>
      </w:r>
      <w:r>
        <w:rPr>
          <w:rFonts w:hint="eastAsia"/>
          <w:b/>
          <w:noProof w:val="0"/>
          <w:lang w:eastAsia="ja-JP"/>
        </w:rPr>
        <w:t>Discussion</w:t>
      </w:r>
    </w:p>
    <w:p w:rsidR="00D22D75" w:rsidRDefault="00D22D75" w:rsidP="00D22D75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b/>
          <w:noProof w:val="0"/>
          <w:sz w:val="21"/>
          <w:lang w:eastAsia="ja-JP"/>
        </w:rPr>
      </w:pPr>
      <w:r w:rsidRPr="00B34B18">
        <w:rPr>
          <w:rFonts w:hint="eastAsia"/>
          <w:b/>
          <w:noProof w:val="0"/>
          <w:sz w:val="21"/>
          <w:lang w:eastAsia="ja-JP"/>
        </w:rPr>
        <w:t>2</w:t>
      </w:r>
      <w:r w:rsidRPr="00B34B18">
        <w:rPr>
          <w:b/>
          <w:noProof w:val="0"/>
          <w:sz w:val="21"/>
          <w:lang w:eastAsia="ja-JP"/>
        </w:rPr>
        <w:t>.</w:t>
      </w:r>
      <w:r w:rsidRPr="00B34B18">
        <w:rPr>
          <w:rFonts w:hint="eastAsia"/>
          <w:b/>
          <w:noProof w:val="0"/>
          <w:sz w:val="21"/>
          <w:lang w:eastAsia="ja-JP"/>
        </w:rPr>
        <w:t>1</w:t>
      </w:r>
      <w:r w:rsidRPr="00B34B18">
        <w:rPr>
          <w:b/>
          <w:noProof w:val="0"/>
          <w:sz w:val="21"/>
          <w:lang w:eastAsia="ja-JP"/>
        </w:rPr>
        <w:tab/>
      </w:r>
      <w:r w:rsidR="00AB5AFB">
        <w:rPr>
          <w:b/>
          <w:noProof w:val="0"/>
          <w:sz w:val="21"/>
          <w:lang w:eastAsia="ja-JP"/>
        </w:rPr>
        <w:t>Conducted measurement uncertainty</w:t>
      </w:r>
    </w:p>
    <w:p w:rsidR="00AB5AFB" w:rsidRPr="00C36BA8" w:rsidRDefault="00AB5AFB" w:rsidP="00B763A3">
      <w:pPr>
        <w:spacing w:before="120" w:after="120"/>
        <w:rPr>
          <w:sz w:val="22"/>
        </w:rPr>
      </w:pPr>
      <w:r w:rsidRPr="00C36BA8">
        <w:rPr>
          <w:sz w:val="22"/>
        </w:rPr>
        <w:t>Measurements have been performed to characterize OBW MU at conducted reference plane in 10 different test systems, including:</w:t>
      </w:r>
    </w:p>
    <w:p w:rsidR="00AB5AFB" w:rsidRPr="00C36BA8" w:rsidRDefault="00AB5AFB" w:rsidP="00B763A3">
      <w:pPr>
        <w:pStyle w:val="ListParagraph"/>
        <w:numPr>
          <w:ilvl w:val="0"/>
          <w:numId w:val="6"/>
        </w:numPr>
        <w:spacing w:before="120" w:after="120"/>
        <w:rPr>
          <w:sz w:val="22"/>
        </w:rPr>
      </w:pPr>
      <w:r w:rsidRPr="00C36BA8">
        <w:rPr>
          <w:sz w:val="22"/>
        </w:rPr>
        <w:t>FR2 Frequencies for either band 260 and 261</w:t>
      </w:r>
    </w:p>
    <w:p w:rsidR="00AB5AFB" w:rsidRPr="00C36BA8" w:rsidRDefault="00AB5AFB" w:rsidP="00B763A3">
      <w:pPr>
        <w:pStyle w:val="ListParagraph"/>
        <w:numPr>
          <w:ilvl w:val="0"/>
          <w:numId w:val="6"/>
        </w:numPr>
        <w:spacing w:before="120" w:after="120"/>
        <w:rPr>
          <w:sz w:val="22"/>
        </w:rPr>
      </w:pPr>
      <w:r w:rsidRPr="00C36BA8">
        <w:rPr>
          <w:sz w:val="22"/>
        </w:rPr>
        <w:t>Channel BWs of 50 and 100 MHz</w:t>
      </w:r>
    </w:p>
    <w:p w:rsidR="00AB5AFB" w:rsidRPr="00C36BA8" w:rsidRDefault="00AB5AFB" w:rsidP="00B763A3">
      <w:pPr>
        <w:pStyle w:val="ListParagraph"/>
        <w:numPr>
          <w:ilvl w:val="0"/>
          <w:numId w:val="6"/>
        </w:numPr>
        <w:spacing w:before="120" w:after="120"/>
        <w:rPr>
          <w:sz w:val="22"/>
        </w:rPr>
      </w:pPr>
      <w:r w:rsidRPr="00C36BA8">
        <w:rPr>
          <w:sz w:val="22"/>
        </w:rPr>
        <w:t>Considering TX beam peak splitting power equally between 2 measurement antenna polarizations and considering 20 dB unbalance between them</w:t>
      </w:r>
    </w:p>
    <w:p w:rsidR="00AB5AFB" w:rsidRPr="00C36BA8" w:rsidRDefault="00AB5AFB" w:rsidP="00B763A3">
      <w:pPr>
        <w:spacing w:before="120" w:after="120"/>
        <w:rPr>
          <w:sz w:val="22"/>
        </w:rPr>
      </w:pPr>
      <w:r w:rsidRPr="00C36BA8">
        <w:rPr>
          <w:sz w:val="22"/>
        </w:rPr>
        <w:t>Results obtained are as follows:</w:t>
      </w:r>
    </w:p>
    <w:p w:rsidR="00C65F85" w:rsidRPr="003D1F9A" w:rsidRDefault="00C65F85" w:rsidP="00C65F85">
      <w:pPr>
        <w:pStyle w:val="TH"/>
        <w:spacing w:before="120" w:after="120"/>
        <w:ind w:left="360"/>
        <w:rPr>
          <w:sz w:val="16"/>
        </w:rPr>
      </w:pPr>
      <w:r w:rsidRPr="003D1F9A">
        <w:rPr>
          <w:sz w:val="16"/>
        </w:rPr>
        <w:t xml:space="preserve">Table 1: </w:t>
      </w:r>
      <w:r>
        <w:rPr>
          <w:sz w:val="16"/>
        </w:rPr>
        <w:t>OBW conducted MU terms</w:t>
      </w:r>
      <w:r w:rsidRPr="003D1F9A">
        <w:rPr>
          <w:sz w:val="16"/>
        </w:rPr>
        <w:t xml:space="preserve"> at </w:t>
      </w:r>
      <w:proofErr w:type="spellStart"/>
      <w:r w:rsidRPr="003D1F9A">
        <w:rPr>
          <w:sz w:val="16"/>
        </w:rPr>
        <w:t>mmWave</w:t>
      </w:r>
      <w:proofErr w:type="spellEnd"/>
      <w:r w:rsidRPr="003D1F9A">
        <w:rPr>
          <w:sz w:val="16"/>
        </w:rPr>
        <w:t xml:space="preserve">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8"/>
        <w:gridCol w:w="1736"/>
        <w:gridCol w:w="1812"/>
      </w:tblGrid>
      <w:tr w:rsidR="00AB5AFB" w:rsidRPr="00AB5AFB" w:rsidTr="00B763A3">
        <w:trPr>
          <w:jc w:val="center"/>
        </w:trPr>
        <w:tc>
          <w:tcPr>
            <w:tcW w:w="0" w:type="auto"/>
            <w:shd w:val="clear" w:color="auto" w:fill="000000" w:themeFill="text1"/>
            <w:noWrap/>
            <w:vAlign w:val="bottom"/>
            <w:hideMark/>
          </w:tcPr>
          <w:p w:rsidR="00AB5AFB" w:rsidRPr="00AB5AFB" w:rsidRDefault="00AB5AFB" w:rsidP="00AB5AFB">
            <w:pPr>
              <w:spacing w:beforeLines="0" w:before="0" w:afterLines="0" w:after="0"/>
              <w:rPr>
                <w:rFonts w:ascii="Calibri" w:hAnsi="Calibri" w:cs="Calibri"/>
                <w:b/>
                <w:bCs/>
                <w:color w:val="FFFFFF" w:themeColor="background1"/>
                <w:sz w:val="16"/>
                <w:szCs w:val="22"/>
                <w:lang w:eastAsia="en-US"/>
              </w:rPr>
            </w:pPr>
            <w:r w:rsidRPr="00AB5AFB">
              <w:rPr>
                <w:rFonts w:ascii="Calibri" w:hAnsi="Calibri" w:cs="Calibri"/>
                <w:b/>
                <w:bCs/>
                <w:color w:val="FFFFFF" w:themeColor="background1"/>
                <w:sz w:val="16"/>
                <w:szCs w:val="22"/>
                <w:lang w:eastAsia="en-US"/>
              </w:rPr>
              <w:t>Theoretical NR BW (MHz)</w:t>
            </w:r>
          </w:p>
        </w:tc>
        <w:tc>
          <w:tcPr>
            <w:tcW w:w="1736" w:type="dxa"/>
            <w:shd w:val="clear" w:color="auto" w:fill="000000" w:themeFill="text1"/>
            <w:noWrap/>
            <w:vAlign w:val="bottom"/>
            <w:hideMark/>
          </w:tcPr>
          <w:p w:rsidR="00AB5AFB" w:rsidRPr="00AB5AFB" w:rsidRDefault="00AB5AFB" w:rsidP="00AB5AFB">
            <w:pPr>
              <w:spacing w:beforeLines="0" w:before="0" w:afterLines="0" w:after="0"/>
              <w:rPr>
                <w:rFonts w:ascii="Calibri" w:hAnsi="Calibri" w:cs="Calibri"/>
                <w:b/>
                <w:bCs/>
                <w:color w:val="FFFFFF" w:themeColor="background1"/>
                <w:sz w:val="16"/>
                <w:szCs w:val="22"/>
                <w:lang w:eastAsia="en-US"/>
              </w:rPr>
            </w:pPr>
            <w:r w:rsidRPr="00AB5AFB">
              <w:rPr>
                <w:rFonts w:ascii="Calibri" w:hAnsi="Calibri" w:cs="Calibri"/>
                <w:b/>
                <w:bCs/>
                <w:color w:val="FFFFFF" w:themeColor="background1"/>
                <w:sz w:val="16"/>
                <w:szCs w:val="22"/>
                <w:lang w:eastAsia="en-US"/>
              </w:rPr>
              <w:t>Total uncertainty (kHz)</w:t>
            </w:r>
          </w:p>
        </w:tc>
        <w:tc>
          <w:tcPr>
            <w:tcW w:w="1812" w:type="dxa"/>
            <w:shd w:val="clear" w:color="auto" w:fill="000000" w:themeFill="text1"/>
            <w:noWrap/>
            <w:vAlign w:val="bottom"/>
            <w:hideMark/>
          </w:tcPr>
          <w:p w:rsidR="00AB5AFB" w:rsidRPr="00AB5AFB" w:rsidRDefault="00B763A3" w:rsidP="00AB5AFB">
            <w:pPr>
              <w:spacing w:beforeLines="0" w:before="0" w:afterLines="0" w:after="0"/>
              <w:rPr>
                <w:rFonts w:ascii="Calibri" w:hAnsi="Calibri" w:cs="Calibri"/>
                <w:b/>
                <w:bCs/>
                <w:color w:val="FFFFFF" w:themeColor="background1"/>
                <w:sz w:val="16"/>
                <w:szCs w:val="22"/>
                <w:lang w:eastAsia="en-US"/>
              </w:rPr>
            </w:pPr>
            <w:r w:rsidRPr="00B763A3">
              <w:rPr>
                <w:rFonts w:ascii="Calibri" w:hAnsi="Calibri" w:cs="Calibri"/>
                <w:b/>
                <w:bCs/>
                <w:color w:val="FFFFFF" w:themeColor="background1"/>
                <w:sz w:val="16"/>
                <w:szCs w:val="22"/>
                <w:lang w:eastAsia="en-US"/>
              </w:rPr>
              <w:t>Channel BW percentage</w:t>
            </w:r>
          </w:p>
        </w:tc>
      </w:tr>
      <w:tr w:rsidR="00AB5AFB" w:rsidRPr="00AB5AFB" w:rsidTr="00B763A3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AB5AFB" w:rsidRPr="00AB5AFB" w:rsidRDefault="00AB5AFB" w:rsidP="00B763A3">
            <w:pPr>
              <w:spacing w:beforeLines="0" w:before="0" w:afterLines="0" w:after="0"/>
              <w:jc w:val="center"/>
              <w:rPr>
                <w:rFonts w:ascii="Calibri" w:hAnsi="Calibri" w:cs="Calibri"/>
                <w:bCs/>
                <w:color w:val="000000"/>
                <w:sz w:val="16"/>
                <w:szCs w:val="22"/>
                <w:lang w:eastAsia="en-US"/>
              </w:rPr>
            </w:pPr>
            <w:r w:rsidRPr="00AB5AFB">
              <w:rPr>
                <w:rFonts w:ascii="Calibri" w:hAnsi="Calibri" w:cs="Calibri"/>
                <w:bCs/>
                <w:color w:val="000000"/>
                <w:sz w:val="16"/>
                <w:szCs w:val="22"/>
                <w:lang w:eastAsia="en-US"/>
              </w:rPr>
              <w:t>50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AB5AFB" w:rsidRPr="00AB5AFB" w:rsidRDefault="00AB5AFB" w:rsidP="00B763A3">
            <w:pPr>
              <w:spacing w:beforeLines="0" w:before="0" w:afterLines="0" w:after="0"/>
              <w:jc w:val="center"/>
              <w:rPr>
                <w:rFonts w:ascii="Calibri" w:hAnsi="Calibri" w:cs="Calibri"/>
                <w:bCs/>
                <w:color w:val="000000"/>
                <w:sz w:val="16"/>
                <w:szCs w:val="22"/>
                <w:lang w:eastAsia="en-US"/>
              </w:rPr>
            </w:pPr>
            <w:r w:rsidRPr="00AB5AFB">
              <w:rPr>
                <w:rFonts w:ascii="Calibri" w:hAnsi="Calibri" w:cs="Calibri"/>
                <w:bCs/>
                <w:color w:val="000000"/>
                <w:sz w:val="16"/>
                <w:szCs w:val="22"/>
                <w:lang w:eastAsia="en-US"/>
              </w:rPr>
              <w:t>88</w:t>
            </w:r>
            <w:r w:rsidR="00B763A3">
              <w:rPr>
                <w:rFonts w:ascii="Calibri" w:hAnsi="Calibri" w:cs="Calibri"/>
                <w:bCs/>
                <w:color w:val="000000"/>
                <w:sz w:val="16"/>
                <w:szCs w:val="22"/>
                <w:lang w:eastAsia="en-US"/>
              </w:rPr>
              <w:t>5</w:t>
            </w:r>
          </w:p>
        </w:tc>
        <w:tc>
          <w:tcPr>
            <w:tcW w:w="1812" w:type="dxa"/>
            <w:shd w:val="clear" w:color="auto" w:fill="auto"/>
            <w:noWrap/>
            <w:vAlign w:val="bottom"/>
            <w:hideMark/>
          </w:tcPr>
          <w:p w:rsidR="00AB5AFB" w:rsidRPr="00AB5AFB" w:rsidRDefault="00B763A3" w:rsidP="00B763A3">
            <w:pPr>
              <w:spacing w:beforeLines="0" w:before="0" w:afterLines="0" w:after="0"/>
              <w:jc w:val="center"/>
              <w:rPr>
                <w:rFonts w:ascii="Calibri" w:hAnsi="Calibri" w:cs="Calibri"/>
                <w:color w:val="000000"/>
                <w:sz w:val="16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  <w:lang w:eastAsia="en-US"/>
              </w:rPr>
              <w:t>1.77%</w:t>
            </w:r>
          </w:p>
        </w:tc>
      </w:tr>
      <w:tr w:rsidR="00AB5AFB" w:rsidRPr="00AB5AFB" w:rsidTr="00B763A3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AB5AFB" w:rsidRPr="00AB5AFB" w:rsidRDefault="00AB5AFB" w:rsidP="00B763A3">
            <w:pPr>
              <w:spacing w:beforeLines="0" w:before="0" w:afterLines="0" w:after="0"/>
              <w:jc w:val="center"/>
              <w:rPr>
                <w:rFonts w:ascii="Calibri" w:hAnsi="Calibri" w:cs="Calibri"/>
                <w:bCs/>
                <w:color w:val="000000"/>
                <w:sz w:val="16"/>
                <w:szCs w:val="22"/>
                <w:lang w:eastAsia="en-US"/>
              </w:rPr>
            </w:pPr>
            <w:r w:rsidRPr="00AB5AFB">
              <w:rPr>
                <w:rFonts w:ascii="Calibri" w:hAnsi="Calibri" w:cs="Calibri"/>
                <w:bCs/>
                <w:color w:val="000000"/>
                <w:sz w:val="16"/>
                <w:szCs w:val="22"/>
                <w:lang w:eastAsia="en-US"/>
              </w:rPr>
              <w:t>100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AB5AFB" w:rsidRPr="00AB5AFB" w:rsidRDefault="00AB5AFB" w:rsidP="00B763A3">
            <w:pPr>
              <w:spacing w:beforeLines="0" w:before="0" w:afterLines="0" w:after="0"/>
              <w:jc w:val="center"/>
              <w:rPr>
                <w:rFonts w:ascii="Calibri" w:hAnsi="Calibri" w:cs="Calibri"/>
                <w:bCs/>
                <w:color w:val="000000"/>
                <w:sz w:val="16"/>
                <w:szCs w:val="22"/>
                <w:lang w:eastAsia="en-US"/>
              </w:rPr>
            </w:pPr>
            <w:r w:rsidRPr="00AB5AFB">
              <w:rPr>
                <w:rFonts w:ascii="Calibri" w:hAnsi="Calibri" w:cs="Calibri"/>
                <w:bCs/>
                <w:color w:val="000000"/>
                <w:sz w:val="16"/>
                <w:szCs w:val="22"/>
                <w:lang w:eastAsia="en-US"/>
              </w:rPr>
              <w:t>185</w:t>
            </w:r>
            <w:r w:rsidR="00B763A3">
              <w:rPr>
                <w:rFonts w:ascii="Calibri" w:hAnsi="Calibri" w:cs="Calibri"/>
                <w:bCs/>
                <w:color w:val="000000"/>
                <w:sz w:val="16"/>
                <w:szCs w:val="22"/>
                <w:lang w:eastAsia="en-US"/>
              </w:rPr>
              <w:t>3</w:t>
            </w:r>
          </w:p>
        </w:tc>
        <w:tc>
          <w:tcPr>
            <w:tcW w:w="1812" w:type="dxa"/>
            <w:shd w:val="clear" w:color="auto" w:fill="auto"/>
            <w:noWrap/>
            <w:vAlign w:val="bottom"/>
            <w:hideMark/>
          </w:tcPr>
          <w:p w:rsidR="00AB5AFB" w:rsidRPr="00AB5AFB" w:rsidRDefault="00B763A3" w:rsidP="00B763A3">
            <w:pPr>
              <w:spacing w:beforeLines="0" w:before="0" w:afterLines="0" w:after="0"/>
              <w:jc w:val="center"/>
              <w:rPr>
                <w:rFonts w:ascii="Calibri" w:hAnsi="Calibri" w:cs="Calibri"/>
                <w:color w:val="000000"/>
                <w:sz w:val="16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  <w:lang w:eastAsia="en-US"/>
              </w:rPr>
              <w:t>1.85%</w:t>
            </w:r>
          </w:p>
        </w:tc>
      </w:tr>
    </w:tbl>
    <w:p w:rsidR="00B763A3" w:rsidRDefault="00B763A3" w:rsidP="00B763A3">
      <w:pPr>
        <w:spacing w:before="120" w:after="120"/>
        <w:rPr>
          <w:b/>
          <w:i/>
        </w:rPr>
      </w:pPr>
    </w:p>
    <w:p w:rsidR="00B763A3" w:rsidRPr="00C36BA8" w:rsidRDefault="00B763A3" w:rsidP="00B763A3">
      <w:pPr>
        <w:spacing w:before="120" w:after="120"/>
        <w:rPr>
          <w:b/>
          <w:i/>
          <w:sz w:val="22"/>
        </w:rPr>
      </w:pPr>
      <w:r w:rsidRPr="00C36BA8">
        <w:rPr>
          <w:b/>
          <w:i/>
          <w:sz w:val="22"/>
        </w:rPr>
        <w:t>Observation 1: OBW conducted measurement uncertainty in FR2 is slightly higher than in FR1</w:t>
      </w:r>
    </w:p>
    <w:p w:rsidR="00B763A3" w:rsidRPr="00C36BA8" w:rsidRDefault="00B763A3" w:rsidP="00B763A3">
      <w:pPr>
        <w:spacing w:before="120" w:after="120"/>
        <w:rPr>
          <w:b/>
          <w:i/>
          <w:sz w:val="22"/>
        </w:rPr>
      </w:pPr>
      <w:r w:rsidRPr="00C36BA8">
        <w:rPr>
          <w:b/>
          <w:i/>
          <w:sz w:val="22"/>
        </w:rPr>
        <w:t>Proposal 1: Define OBW conducted measurement uncertainty as 2.2% of channel BW</w:t>
      </w:r>
    </w:p>
    <w:p w:rsidR="00B763A3" w:rsidRPr="00B763A3" w:rsidRDefault="00B763A3" w:rsidP="00B763A3">
      <w:pPr>
        <w:spacing w:before="120" w:after="120"/>
      </w:pPr>
    </w:p>
    <w:p w:rsidR="00D22D75" w:rsidRDefault="00D22D75" w:rsidP="00D22D75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b/>
          <w:noProof w:val="0"/>
          <w:sz w:val="21"/>
          <w:lang w:eastAsia="ja-JP"/>
        </w:rPr>
      </w:pPr>
      <w:r w:rsidRPr="00B34B18">
        <w:rPr>
          <w:rFonts w:hint="eastAsia"/>
          <w:b/>
          <w:noProof w:val="0"/>
          <w:sz w:val="21"/>
          <w:lang w:eastAsia="ja-JP"/>
        </w:rPr>
        <w:t>2</w:t>
      </w:r>
      <w:r w:rsidRPr="00B34B18">
        <w:rPr>
          <w:b/>
          <w:noProof w:val="0"/>
          <w:sz w:val="21"/>
          <w:lang w:eastAsia="ja-JP"/>
        </w:rPr>
        <w:t>.</w:t>
      </w:r>
      <w:r>
        <w:rPr>
          <w:b/>
          <w:noProof w:val="0"/>
          <w:sz w:val="21"/>
          <w:lang w:eastAsia="ja-JP"/>
        </w:rPr>
        <w:t>2</w:t>
      </w:r>
      <w:r w:rsidRPr="00B34B18">
        <w:rPr>
          <w:b/>
          <w:noProof w:val="0"/>
          <w:sz w:val="21"/>
          <w:lang w:eastAsia="ja-JP"/>
        </w:rPr>
        <w:tab/>
      </w:r>
      <w:r w:rsidR="00B763A3">
        <w:rPr>
          <w:b/>
          <w:noProof w:val="0"/>
          <w:sz w:val="21"/>
          <w:lang w:eastAsia="ja-JP"/>
        </w:rPr>
        <w:t>Radiated measurement uncertainty</w:t>
      </w:r>
    </w:p>
    <w:p w:rsidR="00B763A3" w:rsidRPr="00B763A3" w:rsidRDefault="00B763A3" w:rsidP="000A6A2E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b/>
          <w:noProof w:val="0"/>
          <w:sz w:val="18"/>
          <w:lang w:eastAsia="ja-JP"/>
        </w:rPr>
      </w:pPr>
      <w:r w:rsidRPr="00B763A3">
        <w:rPr>
          <w:b/>
          <w:noProof w:val="0"/>
          <w:sz w:val="18"/>
          <w:lang w:eastAsia="ja-JP"/>
        </w:rPr>
        <w:t>2.2.1 Quality of Quiet Zone</w:t>
      </w:r>
    </w:p>
    <w:p w:rsidR="000A6A2E" w:rsidRPr="00C36BA8" w:rsidRDefault="000A6A2E" w:rsidP="00B763A3">
      <w:pPr>
        <w:spacing w:before="120" w:after="120"/>
        <w:rPr>
          <w:sz w:val="22"/>
        </w:rPr>
      </w:pPr>
      <w:r w:rsidRPr="00C36BA8">
        <w:rPr>
          <w:sz w:val="22"/>
        </w:rPr>
        <w:t>In [</w:t>
      </w:r>
      <w:r w:rsidR="00B763A3" w:rsidRPr="00C36BA8">
        <w:rPr>
          <w:sz w:val="22"/>
        </w:rPr>
        <w:t>3</w:t>
      </w:r>
      <w:r w:rsidRPr="00C36BA8">
        <w:rPr>
          <w:sz w:val="22"/>
        </w:rPr>
        <w:t>], the following proposal is made:</w:t>
      </w:r>
    </w:p>
    <w:tbl>
      <w:tblPr>
        <w:tblStyle w:val="TableGrid"/>
        <w:tblW w:w="9857" w:type="dxa"/>
        <w:tblInd w:w="284" w:type="dxa"/>
        <w:tblLook w:val="04A0" w:firstRow="1" w:lastRow="0" w:firstColumn="1" w:lastColumn="0" w:noHBand="0" w:noVBand="1"/>
      </w:tblPr>
      <w:tblGrid>
        <w:gridCol w:w="9857"/>
      </w:tblGrid>
      <w:tr w:rsidR="000A6A2E" w:rsidRPr="00C36BA8" w:rsidTr="00BA7D32">
        <w:tc>
          <w:tcPr>
            <w:tcW w:w="9857" w:type="dxa"/>
          </w:tcPr>
          <w:p w:rsidR="000A6A2E" w:rsidRPr="00C36BA8" w:rsidRDefault="00B763A3" w:rsidP="00B763A3">
            <w:pPr>
              <w:spacing w:before="120" w:after="120"/>
              <w:rPr>
                <w:rFonts w:eastAsia="Malgun Gothic"/>
                <w:b/>
                <w:i/>
                <w:color w:val="808080" w:themeColor="background1" w:themeShade="80"/>
                <w:sz w:val="22"/>
                <w:lang w:val="en-GB"/>
              </w:rPr>
            </w:pPr>
            <w:bookmarkStart w:id="0" w:name="_Ref534630177"/>
            <w:r w:rsidRPr="00C36BA8">
              <w:rPr>
                <w:b/>
                <w:i/>
                <w:color w:val="808080" w:themeColor="background1" w:themeShade="80"/>
                <w:sz w:val="22"/>
              </w:rPr>
              <w:t xml:space="preserve">Proposal </w:t>
            </w:r>
            <w:r w:rsidRPr="00C36BA8">
              <w:rPr>
                <w:b/>
                <w:i/>
                <w:color w:val="808080" w:themeColor="background1" w:themeShade="80"/>
                <w:sz w:val="22"/>
              </w:rPr>
              <w:fldChar w:fldCharType="begin"/>
            </w:r>
            <w:r w:rsidRPr="00C36BA8">
              <w:rPr>
                <w:b/>
                <w:i/>
                <w:color w:val="808080" w:themeColor="background1" w:themeShade="80"/>
                <w:sz w:val="22"/>
              </w:rPr>
              <w:instrText xml:space="preserve"> SEQ Proposal \* ARABIC </w:instrText>
            </w:r>
            <w:r w:rsidRPr="00C36BA8">
              <w:rPr>
                <w:b/>
                <w:i/>
                <w:color w:val="808080" w:themeColor="background1" w:themeShade="80"/>
                <w:sz w:val="22"/>
              </w:rPr>
              <w:fldChar w:fldCharType="separate"/>
            </w:r>
            <w:r w:rsidRPr="00C36BA8">
              <w:rPr>
                <w:b/>
                <w:i/>
                <w:noProof/>
                <w:color w:val="808080" w:themeColor="background1" w:themeShade="80"/>
                <w:sz w:val="22"/>
              </w:rPr>
              <w:t>1</w:t>
            </w:r>
            <w:r w:rsidRPr="00C36BA8">
              <w:rPr>
                <w:b/>
                <w:i/>
                <w:color w:val="808080" w:themeColor="background1" w:themeShade="80"/>
                <w:sz w:val="22"/>
              </w:rPr>
              <w:fldChar w:fldCharType="end"/>
            </w:r>
            <w:r w:rsidRPr="00C36BA8">
              <w:rPr>
                <w:b/>
                <w:i/>
                <w:color w:val="808080" w:themeColor="background1" w:themeShade="80"/>
                <w:sz w:val="22"/>
              </w:rPr>
              <w:t xml:space="preserve">: </w:t>
            </w:r>
            <w:r w:rsidRPr="00C36BA8">
              <w:rPr>
                <w:b/>
                <w:bCs/>
                <w:i/>
                <w:color w:val="808080" w:themeColor="background1" w:themeShade="80"/>
                <w:sz w:val="22"/>
              </w:rPr>
              <w:t xml:space="preserve">The impact of </w:t>
            </w:r>
            <w:proofErr w:type="spellStart"/>
            <w:r w:rsidRPr="00C36BA8">
              <w:rPr>
                <w:b/>
                <w:i/>
                <w:color w:val="808080" w:themeColor="background1" w:themeShade="80"/>
                <w:sz w:val="22"/>
              </w:rPr>
              <w:t>QoQZ</w:t>
            </w:r>
            <w:proofErr w:type="spellEnd"/>
            <w:r w:rsidRPr="00C36BA8">
              <w:rPr>
                <w:b/>
                <w:i/>
                <w:color w:val="808080" w:themeColor="background1" w:themeShade="80"/>
                <w:sz w:val="22"/>
              </w:rPr>
              <w:t xml:space="preserve"> impact on the OBW relative to the CBW </w:t>
            </w:r>
            <w:bookmarkEnd w:id="0"/>
            <w:r w:rsidRPr="00C36BA8">
              <w:rPr>
                <w:b/>
                <w:i/>
                <w:color w:val="808080" w:themeColor="background1" w:themeShade="80"/>
                <w:sz w:val="22"/>
              </w:rPr>
              <w:t>shall be considered 0.1%</w:t>
            </w:r>
          </w:p>
        </w:tc>
      </w:tr>
    </w:tbl>
    <w:p w:rsidR="00E0353F" w:rsidRPr="00C36BA8" w:rsidRDefault="0001559F" w:rsidP="00B763A3">
      <w:pPr>
        <w:spacing w:before="120" w:after="120"/>
        <w:rPr>
          <w:sz w:val="22"/>
        </w:rPr>
      </w:pPr>
      <w:r w:rsidRPr="00C36BA8">
        <w:rPr>
          <w:sz w:val="22"/>
        </w:rPr>
        <w:t xml:space="preserve">This proposal was done after considering different frequency dependent distributions for </w:t>
      </w:r>
      <w:proofErr w:type="spellStart"/>
      <w:r w:rsidRPr="00C36BA8">
        <w:rPr>
          <w:sz w:val="22"/>
        </w:rPr>
        <w:t>QoQZ</w:t>
      </w:r>
      <w:proofErr w:type="spellEnd"/>
      <w:r w:rsidRPr="00C36BA8">
        <w:rPr>
          <w:sz w:val="22"/>
        </w:rPr>
        <w:t xml:space="preserve"> (flat, linearly increasing power distribution, V-shaped and “bathtub”).</w:t>
      </w:r>
    </w:p>
    <w:p w:rsidR="00DC201C" w:rsidRPr="00C36BA8" w:rsidRDefault="00DC201C" w:rsidP="00DC201C">
      <w:pPr>
        <w:spacing w:before="120" w:after="120"/>
        <w:rPr>
          <w:b/>
          <w:i/>
          <w:sz w:val="22"/>
        </w:rPr>
      </w:pPr>
      <w:r w:rsidRPr="00C36BA8">
        <w:rPr>
          <w:b/>
          <w:i/>
          <w:sz w:val="22"/>
        </w:rPr>
        <w:t xml:space="preserve">Proposal 2: Define impact of </w:t>
      </w:r>
      <w:proofErr w:type="spellStart"/>
      <w:r w:rsidRPr="00C36BA8">
        <w:rPr>
          <w:b/>
          <w:i/>
          <w:sz w:val="22"/>
        </w:rPr>
        <w:t>QoQZ</w:t>
      </w:r>
      <w:proofErr w:type="spellEnd"/>
      <w:r w:rsidRPr="00C36BA8">
        <w:rPr>
          <w:b/>
          <w:i/>
          <w:sz w:val="22"/>
        </w:rPr>
        <w:t xml:space="preserve"> uncertainty for OBW test as 0.1% of channel BW</w:t>
      </w:r>
    </w:p>
    <w:p w:rsidR="00DC201C" w:rsidRDefault="00DC201C" w:rsidP="00C36BA8">
      <w:pPr>
        <w:spacing w:before="120" w:after="120"/>
      </w:pPr>
    </w:p>
    <w:p w:rsidR="00B763A3" w:rsidRPr="00B763A3" w:rsidRDefault="00B763A3" w:rsidP="00B763A3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b/>
          <w:noProof w:val="0"/>
          <w:sz w:val="18"/>
          <w:lang w:eastAsia="ja-JP"/>
        </w:rPr>
      </w:pPr>
      <w:r w:rsidRPr="00B763A3">
        <w:rPr>
          <w:b/>
          <w:noProof w:val="0"/>
          <w:sz w:val="18"/>
          <w:lang w:eastAsia="ja-JP"/>
        </w:rPr>
        <w:t>2.2.</w:t>
      </w:r>
      <w:r>
        <w:rPr>
          <w:b/>
          <w:noProof w:val="0"/>
          <w:sz w:val="18"/>
          <w:lang w:eastAsia="ja-JP"/>
        </w:rPr>
        <w:t>2</w:t>
      </w:r>
      <w:r w:rsidRPr="00B763A3">
        <w:rPr>
          <w:b/>
          <w:noProof w:val="0"/>
          <w:sz w:val="18"/>
          <w:lang w:eastAsia="ja-JP"/>
        </w:rPr>
        <w:t xml:space="preserve"> </w:t>
      </w:r>
      <w:r w:rsidR="00E2519F">
        <w:rPr>
          <w:b/>
          <w:noProof w:val="0"/>
          <w:sz w:val="18"/>
          <w:lang w:eastAsia="ja-JP"/>
        </w:rPr>
        <w:t>Other uncertainty terms</w:t>
      </w:r>
    </w:p>
    <w:p w:rsidR="00B763A3" w:rsidRPr="00C36BA8" w:rsidRDefault="00B763A3" w:rsidP="00B763A3">
      <w:pPr>
        <w:spacing w:before="120" w:after="120"/>
        <w:rPr>
          <w:sz w:val="22"/>
        </w:rPr>
      </w:pPr>
      <w:r w:rsidRPr="00C36BA8">
        <w:rPr>
          <w:sz w:val="22"/>
        </w:rPr>
        <w:t xml:space="preserve">In [3], the following </w:t>
      </w:r>
      <w:r w:rsidR="0001559F" w:rsidRPr="00C36BA8">
        <w:rPr>
          <w:sz w:val="22"/>
        </w:rPr>
        <w:t>observation</w:t>
      </w:r>
      <w:r w:rsidRPr="00C36BA8">
        <w:rPr>
          <w:sz w:val="22"/>
        </w:rPr>
        <w:t xml:space="preserve"> is made:</w:t>
      </w:r>
    </w:p>
    <w:tbl>
      <w:tblPr>
        <w:tblStyle w:val="TableGrid"/>
        <w:tblW w:w="9857" w:type="dxa"/>
        <w:tblInd w:w="284" w:type="dxa"/>
        <w:tblLook w:val="04A0" w:firstRow="1" w:lastRow="0" w:firstColumn="1" w:lastColumn="0" w:noHBand="0" w:noVBand="1"/>
      </w:tblPr>
      <w:tblGrid>
        <w:gridCol w:w="9857"/>
      </w:tblGrid>
      <w:tr w:rsidR="00B763A3" w:rsidTr="008A36B9">
        <w:tc>
          <w:tcPr>
            <w:tcW w:w="9857" w:type="dxa"/>
          </w:tcPr>
          <w:p w:rsidR="00B763A3" w:rsidRPr="0001559F" w:rsidRDefault="0001559F" w:rsidP="0001559F">
            <w:pPr>
              <w:pStyle w:val="Caption"/>
              <w:rPr>
                <w:i/>
              </w:rPr>
            </w:pPr>
            <w:bookmarkStart w:id="1" w:name="_Ref534630168"/>
            <w:r w:rsidRPr="00C36BA8">
              <w:rPr>
                <w:color w:val="808080" w:themeColor="background1" w:themeShade="80"/>
              </w:rPr>
              <w:lastRenderedPageBreak/>
              <w:t xml:space="preserve">Observation </w:t>
            </w:r>
            <w:r w:rsidRPr="00C36BA8">
              <w:rPr>
                <w:color w:val="808080" w:themeColor="background1" w:themeShade="80"/>
              </w:rPr>
              <w:fldChar w:fldCharType="begin"/>
            </w:r>
            <w:r w:rsidRPr="00C36BA8">
              <w:rPr>
                <w:color w:val="808080" w:themeColor="background1" w:themeShade="80"/>
              </w:rPr>
              <w:instrText xml:space="preserve"> SEQ Observation \* ARABIC </w:instrText>
            </w:r>
            <w:r w:rsidRPr="00C36BA8">
              <w:rPr>
                <w:color w:val="808080" w:themeColor="background1" w:themeShade="80"/>
              </w:rPr>
              <w:fldChar w:fldCharType="separate"/>
            </w:r>
            <w:r w:rsidRPr="00C36BA8">
              <w:rPr>
                <w:noProof/>
                <w:color w:val="808080" w:themeColor="background1" w:themeShade="80"/>
              </w:rPr>
              <w:t>2</w:t>
            </w:r>
            <w:r w:rsidRPr="00C36BA8">
              <w:rPr>
                <w:color w:val="808080" w:themeColor="background1" w:themeShade="80"/>
              </w:rPr>
              <w:fldChar w:fldCharType="end"/>
            </w:r>
            <w:r w:rsidRPr="00C36BA8">
              <w:rPr>
                <w:color w:val="808080" w:themeColor="background1" w:themeShade="80"/>
              </w:rPr>
              <w:t xml:space="preserve">: </w:t>
            </w:r>
            <w:r w:rsidRPr="00C36BA8">
              <w:rPr>
                <w:i/>
                <w:color w:val="808080" w:themeColor="background1" w:themeShade="80"/>
              </w:rPr>
              <w:t xml:space="preserve">A random contribution (0.56dB peak-to-peak) of the </w:t>
            </w:r>
            <w:proofErr w:type="spellStart"/>
            <w:r w:rsidRPr="00C36BA8">
              <w:rPr>
                <w:i/>
                <w:color w:val="808080" w:themeColor="background1" w:themeShade="80"/>
              </w:rPr>
              <w:t>QoQZ</w:t>
            </w:r>
            <w:proofErr w:type="spellEnd"/>
            <w:r w:rsidRPr="00C36BA8">
              <w:rPr>
                <w:i/>
                <w:color w:val="808080" w:themeColor="background1" w:themeShade="80"/>
              </w:rPr>
              <w:t xml:space="preserve"> impact on the OBW results has no effect on the OWB.</w:t>
            </w:r>
            <w:bookmarkEnd w:id="1"/>
          </w:p>
        </w:tc>
      </w:tr>
    </w:tbl>
    <w:p w:rsidR="00B763A3" w:rsidRPr="00C36BA8" w:rsidRDefault="0001559F" w:rsidP="00B763A3">
      <w:pPr>
        <w:spacing w:before="120" w:after="120"/>
        <w:rPr>
          <w:sz w:val="22"/>
        </w:rPr>
      </w:pPr>
      <w:r w:rsidRPr="00C36BA8">
        <w:rPr>
          <w:sz w:val="22"/>
        </w:rPr>
        <w:t>Additionally, [</w:t>
      </w:r>
      <w:r w:rsidR="00E15574" w:rsidRPr="00C36BA8">
        <w:rPr>
          <w:sz w:val="22"/>
        </w:rPr>
        <w:t xml:space="preserve">4] included an analysis about which terms </w:t>
      </w:r>
      <w:r w:rsidR="007A46C4" w:rsidRPr="00C36BA8">
        <w:rPr>
          <w:sz w:val="22"/>
        </w:rPr>
        <w:t xml:space="preserve">of MU could be disregarded when considering relative power measurements. </w:t>
      </w:r>
      <w:r w:rsidR="00C65F85" w:rsidRPr="00C36BA8">
        <w:rPr>
          <w:sz w:val="22"/>
        </w:rPr>
        <w:t>This analysis is applicable to OBW MU.</w:t>
      </w:r>
    </w:p>
    <w:p w:rsidR="00C65F85" w:rsidRPr="00C36BA8" w:rsidRDefault="00C65F85" w:rsidP="00C65F85">
      <w:pPr>
        <w:spacing w:before="120" w:after="120"/>
        <w:rPr>
          <w:sz w:val="22"/>
        </w:rPr>
      </w:pPr>
      <w:r w:rsidRPr="00C36BA8">
        <w:rPr>
          <w:sz w:val="22"/>
        </w:rPr>
        <w:t xml:space="preserve">Regarding the remaining MU terms (listed in Table 2 below) are assumed to be flat with frequency in the frequency range to be considered in OBW test case, and, as indicated in [3], they have no impact on OBW MU: </w:t>
      </w:r>
    </w:p>
    <w:tbl>
      <w:tblPr>
        <w:tblStyle w:val="TableGrid"/>
        <w:tblW w:w="9857" w:type="dxa"/>
        <w:tblInd w:w="284" w:type="dxa"/>
        <w:tblLook w:val="04A0" w:firstRow="1" w:lastRow="0" w:firstColumn="1" w:lastColumn="0" w:noHBand="0" w:noVBand="1"/>
      </w:tblPr>
      <w:tblGrid>
        <w:gridCol w:w="9857"/>
      </w:tblGrid>
      <w:tr w:rsidR="00C65F85" w:rsidTr="008A36B9">
        <w:tc>
          <w:tcPr>
            <w:tcW w:w="9857" w:type="dxa"/>
          </w:tcPr>
          <w:p w:rsidR="00C65F85" w:rsidRPr="00C36BA8" w:rsidRDefault="00C65F85" w:rsidP="008A36B9">
            <w:pPr>
              <w:pStyle w:val="Caption"/>
              <w:rPr>
                <w:i/>
              </w:rPr>
            </w:pPr>
            <w:bookmarkStart w:id="2" w:name="_Ref534630172"/>
            <w:r w:rsidRPr="00C36BA8">
              <w:rPr>
                <w:i/>
                <w:color w:val="808080" w:themeColor="background1" w:themeShade="80"/>
              </w:rPr>
              <w:t xml:space="preserve">Observation </w:t>
            </w:r>
            <w:r w:rsidRPr="00C36BA8">
              <w:rPr>
                <w:i/>
                <w:color w:val="808080" w:themeColor="background1" w:themeShade="80"/>
              </w:rPr>
              <w:fldChar w:fldCharType="begin"/>
            </w:r>
            <w:r w:rsidRPr="00C36BA8">
              <w:rPr>
                <w:i/>
                <w:color w:val="808080" w:themeColor="background1" w:themeShade="80"/>
              </w:rPr>
              <w:instrText xml:space="preserve"> SEQ Observation \* ARABIC </w:instrText>
            </w:r>
            <w:r w:rsidRPr="00C36BA8">
              <w:rPr>
                <w:i/>
                <w:color w:val="808080" w:themeColor="background1" w:themeShade="80"/>
              </w:rPr>
              <w:fldChar w:fldCharType="separate"/>
            </w:r>
            <w:r w:rsidRPr="00C36BA8">
              <w:rPr>
                <w:i/>
                <w:noProof/>
                <w:color w:val="808080" w:themeColor="background1" w:themeShade="80"/>
              </w:rPr>
              <w:t>3</w:t>
            </w:r>
            <w:r w:rsidRPr="00C36BA8">
              <w:rPr>
                <w:i/>
                <w:color w:val="808080" w:themeColor="background1" w:themeShade="80"/>
              </w:rPr>
              <w:fldChar w:fldCharType="end"/>
            </w:r>
            <w:r w:rsidRPr="00C36BA8">
              <w:rPr>
                <w:i/>
                <w:color w:val="808080" w:themeColor="background1" w:themeShade="80"/>
              </w:rPr>
              <w:t>: Different distributions superimposed to the flat transmitted spectrum have almost no effect on the Occupied Bandwidth.</w:t>
            </w:r>
            <w:bookmarkEnd w:id="2"/>
          </w:p>
        </w:tc>
      </w:tr>
    </w:tbl>
    <w:p w:rsidR="00C65F85" w:rsidRPr="003D1F9A" w:rsidRDefault="00C65F85" w:rsidP="00C65F85">
      <w:pPr>
        <w:pStyle w:val="TH"/>
        <w:spacing w:before="120" w:after="120"/>
        <w:ind w:left="360"/>
        <w:rPr>
          <w:sz w:val="16"/>
        </w:rPr>
      </w:pPr>
      <w:r w:rsidRPr="003D1F9A">
        <w:rPr>
          <w:sz w:val="16"/>
        </w:rPr>
        <w:t xml:space="preserve">Table </w:t>
      </w:r>
      <w:r>
        <w:rPr>
          <w:sz w:val="16"/>
        </w:rPr>
        <w:t>2</w:t>
      </w:r>
      <w:r w:rsidRPr="003D1F9A">
        <w:rPr>
          <w:sz w:val="16"/>
        </w:rPr>
        <w:t xml:space="preserve">: </w:t>
      </w:r>
      <w:r>
        <w:rPr>
          <w:sz w:val="16"/>
        </w:rPr>
        <w:t>MU terms</w:t>
      </w:r>
      <w:r w:rsidRPr="003D1F9A">
        <w:rPr>
          <w:sz w:val="16"/>
        </w:rPr>
        <w:t xml:space="preserve"> </w:t>
      </w:r>
      <w:r>
        <w:rPr>
          <w:sz w:val="16"/>
        </w:rPr>
        <w:t xml:space="preserve">which could be disregarded for OBW MU </w:t>
      </w:r>
      <w:r w:rsidRPr="003D1F9A">
        <w:rPr>
          <w:sz w:val="16"/>
        </w:rPr>
        <w:t xml:space="preserve">at </w:t>
      </w:r>
      <w:proofErr w:type="spellStart"/>
      <w:r w:rsidRPr="003D1F9A">
        <w:rPr>
          <w:sz w:val="16"/>
        </w:rPr>
        <w:t>mmWave</w:t>
      </w:r>
      <w:proofErr w:type="spellEnd"/>
      <w:r w:rsidRPr="003D1F9A">
        <w:rPr>
          <w:sz w:val="16"/>
        </w:rPr>
        <w:t xml:space="preserve"> frequencies</w:t>
      </w:r>
    </w:p>
    <w:tbl>
      <w:tblPr>
        <w:tblStyle w:val="Tabellengitternetz1"/>
        <w:tblW w:w="3175" w:type="pct"/>
        <w:jc w:val="center"/>
        <w:tblLook w:val="04A0" w:firstRow="1" w:lastRow="0" w:firstColumn="1" w:lastColumn="0" w:noHBand="0" w:noVBand="1"/>
      </w:tblPr>
      <w:tblGrid>
        <w:gridCol w:w="908"/>
        <w:gridCol w:w="5208"/>
      </w:tblGrid>
      <w:tr w:rsidR="007A46C4" w:rsidRPr="00D563CF" w:rsidTr="00C65F85">
        <w:trPr>
          <w:trHeight w:val="285"/>
          <w:jc w:val="center"/>
        </w:trPr>
        <w:tc>
          <w:tcPr>
            <w:tcW w:w="742" w:type="pct"/>
            <w:shd w:val="clear" w:color="auto" w:fill="000000" w:themeFill="text1"/>
            <w:vAlign w:val="center"/>
          </w:tcPr>
          <w:p w:rsidR="007A46C4" w:rsidRPr="00C65F85" w:rsidRDefault="007A46C4" w:rsidP="008A36B9">
            <w:pPr>
              <w:spacing w:before="120" w:after="120"/>
              <w:rPr>
                <w:rFonts w:ascii="Calibri" w:hAnsi="Calibri" w:cs="Calibri"/>
                <w:b/>
                <w:bCs/>
                <w:color w:val="FFFFFF" w:themeColor="background1"/>
                <w:sz w:val="16"/>
                <w:szCs w:val="22"/>
                <w:lang w:eastAsia="en-US"/>
              </w:rPr>
            </w:pPr>
            <w:r w:rsidRPr="00C65F85">
              <w:rPr>
                <w:rFonts w:ascii="Calibri" w:hAnsi="Calibri" w:cs="Calibri"/>
                <w:b/>
                <w:bCs/>
                <w:color w:val="FFFFFF" w:themeColor="background1"/>
                <w:sz w:val="16"/>
                <w:szCs w:val="22"/>
                <w:lang w:eastAsia="en-US"/>
              </w:rPr>
              <w:t>UID</w:t>
            </w:r>
          </w:p>
        </w:tc>
        <w:tc>
          <w:tcPr>
            <w:tcW w:w="4258" w:type="pct"/>
            <w:shd w:val="clear" w:color="auto" w:fill="000000" w:themeFill="text1"/>
            <w:vAlign w:val="center"/>
          </w:tcPr>
          <w:p w:rsidR="007A46C4" w:rsidRPr="00C65F85" w:rsidRDefault="007A46C4" w:rsidP="008A36B9">
            <w:pPr>
              <w:spacing w:before="120" w:after="120"/>
              <w:rPr>
                <w:rFonts w:ascii="Calibri" w:hAnsi="Calibri" w:cs="Calibri"/>
                <w:b/>
                <w:bCs/>
                <w:color w:val="FFFFFF" w:themeColor="background1"/>
                <w:sz w:val="16"/>
                <w:szCs w:val="22"/>
                <w:lang w:eastAsia="en-US"/>
              </w:rPr>
            </w:pPr>
            <w:r w:rsidRPr="00C65F85">
              <w:rPr>
                <w:rFonts w:ascii="Calibri" w:hAnsi="Calibri" w:cs="Calibri"/>
                <w:b/>
                <w:bCs/>
                <w:color w:val="FFFFFF" w:themeColor="background1"/>
                <w:sz w:val="16"/>
                <w:szCs w:val="22"/>
                <w:lang w:eastAsia="en-US"/>
              </w:rPr>
              <w:t>Uncertainty source</w:t>
            </w:r>
          </w:p>
        </w:tc>
      </w:tr>
      <w:tr w:rsidR="007A46C4" w:rsidRPr="00582FAE" w:rsidTr="00C65F85">
        <w:trPr>
          <w:trHeight w:val="285"/>
          <w:jc w:val="center"/>
        </w:trPr>
        <w:tc>
          <w:tcPr>
            <w:tcW w:w="742" w:type="pct"/>
          </w:tcPr>
          <w:p w:rsidR="007A46C4" w:rsidRPr="00C65F85" w:rsidRDefault="007A46C4" w:rsidP="00C65F85">
            <w:pPr>
              <w:spacing w:beforeLines="0" w:before="0" w:afterLines="0" w:after="0"/>
              <w:jc w:val="center"/>
              <w:rPr>
                <w:rFonts w:ascii="Calibri" w:hAnsi="Calibri" w:cs="Calibri"/>
                <w:bCs/>
                <w:color w:val="000000"/>
                <w:sz w:val="16"/>
                <w:szCs w:val="22"/>
                <w:lang w:eastAsia="en-US"/>
              </w:rPr>
            </w:pPr>
            <w:r w:rsidRPr="00C65F85">
              <w:rPr>
                <w:rFonts w:ascii="Calibri" w:hAnsi="Calibri" w:cs="Calibri"/>
                <w:bCs/>
                <w:color w:val="000000"/>
                <w:sz w:val="16"/>
                <w:szCs w:val="22"/>
                <w:lang w:eastAsia="en-US"/>
              </w:rPr>
              <w:t>4</w:t>
            </w:r>
          </w:p>
        </w:tc>
        <w:tc>
          <w:tcPr>
            <w:tcW w:w="4258" w:type="pct"/>
          </w:tcPr>
          <w:p w:rsidR="007A46C4" w:rsidRPr="00C65F85" w:rsidRDefault="007A46C4" w:rsidP="008A36B9">
            <w:pPr>
              <w:spacing w:beforeLines="0" w:before="0" w:afterLines="0" w:after="0"/>
              <w:rPr>
                <w:rFonts w:ascii="Calibri" w:hAnsi="Calibri" w:cs="Calibri"/>
                <w:bCs/>
                <w:color w:val="000000"/>
                <w:sz w:val="16"/>
                <w:szCs w:val="22"/>
                <w:lang w:eastAsia="en-US"/>
              </w:rPr>
            </w:pPr>
            <w:r w:rsidRPr="00C65F85">
              <w:rPr>
                <w:rFonts w:ascii="Calibri" w:hAnsi="Calibri" w:cs="Calibri"/>
                <w:bCs/>
                <w:color w:val="000000"/>
                <w:sz w:val="16"/>
                <w:szCs w:val="22"/>
                <w:lang w:eastAsia="en-US"/>
              </w:rPr>
              <w:t>Mismatch</w:t>
            </w:r>
          </w:p>
        </w:tc>
      </w:tr>
      <w:tr w:rsidR="007A46C4" w:rsidRPr="00582FAE" w:rsidTr="00C65F85">
        <w:trPr>
          <w:trHeight w:val="285"/>
          <w:jc w:val="center"/>
        </w:trPr>
        <w:tc>
          <w:tcPr>
            <w:tcW w:w="742" w:type="pct"/>
            <w:hideMark/>
          </w:tcPr>
          <w:p w:rsidR="007A46C4" w:rsidRPr="00C65F85" w:rsidRDefault="007A46C4" w:rsidP="00C65F85">
            <w:pPr>
              <w:spacing w:beforeLines="0" w:before="0" w:afterLines="0" w:after="0"/>
              <w:jc w:val="center"/>
              <w:rPr>
                <w:rFonts w:ascii="Calibri" w:hAnsi="Calibri" w:cs="Calibri"/>
                <w:bCs/>
                <w:color w:val="000000"/>
                <w:sz w:val="16"/>
                <w:szCs w:val="22"/>
                <w:lang w:eastAsia="en-US"/>
              </w:rPr>
            </w:pPr>
            <w:r w:rsidRPr="00C65F85">
              <w:rPr>
                <w:rFonts w:ascii="Calibri" w:hAnsi="Calibri" w:cs="Calibri"/>
                <w:bCs/>
                <w:color w:val="000000"/>
                <w:sz w:val="16"/>
                <w:szCs w:val="22"/>
                <w:lang w:eastAsia="en-US"/>
              </w:rPr>
              <w:t>8</w:t>
            </w:r>
          </w:p>
        </w:tc>
        <w:tc>
          <w:tcPr>
            <w:tcW w:w="4258" w:type="pct"/>
            <w:hideMark/>
          </w:tcPr>
          <w:p w:rsidR="007A46C4" w:rsidRPr="00C65F85" w:rsidRDefault="007A46C4" w:rsidP="008A36B9">
            <w:pPr>
              <w:spacing w:beforeLines="0" w:before="0" w:afterLines="0" w:after="0"/>
              <w:rPr>
                <w:rFonts w:ascii="Calibri" w:hAnsi="Calibri" w:cs="Calibri"/>
                <w:bCs/>
                <w:color w:val="000000"/>
                <w:sz w:val="16"/>
                <w:szCs w:val="22"/>
                <w:lang w:eastAsia="en-US"/>
              </w:rPr>
            </w:pPr>
            <w:r w:rsidRPr="00C65F85">
              <w:rPr>
                <w:rFonts w:ascii="Calibri" w:hAnsi="Calibri" w:cs="Calibri"/>
                <w:bCs/>
                <w:color w:val="000000"/>
                <w:sz w:val="16"/>
                <w:szCs w:val="22"/>
                <w:lang w:eastAsia="en-US"/>
              </w:rPr>
              <w:t>Amplifier Uncertainties</w:t>
            </w:r>
          </w:p>
        </w:tc>
      </w:tr>
      <w:tr w:rsidR="007A46C4" w:rsidRPr="00582FAE" w:rsidTr="00C65F85">
        <w:trPr>
          <w:trHeight w:val="285"/>
          <w:jc w:val="center"/>
        </w:trPr>
        <w:tc>
          <w:tcPr>
            <w:tcW w:w="742" w:type="pct"/>
            <w:hideMark/>
          </w:tcPr>
          <w:p w:rsidR="007A46C4" w:rsidRPr="00C65F85" w:rsidRDefault="007A46C4" w:rsidP="00C65F85">
            <w:pPr>
              <w:spacing w:beforeLines="0" w:before="0" w:afterLines="0" w:after="0"/>
              <w:jc w:val="center"/>
              <w:rPr>
                <w:rFonts w:ascii="Calibri" w:hAnsi="Calibri" w:cs="Calibri"/>
                <w:bCs/>
                <w:color w:val="000000"/>
                <w:sz w:val="16"/>
                <w:szCs w:val="22"/>
                <w:lang w:eastAsia="en-US"/>
              </w:rPr>
            </w:pPr>
            <w:r w:rsidRPr="00C65F85">
              <w:rPr>
                <w:rFonts w:ascii="Calibri" w:hAnsi="Calibri" w:cs="Calibri"/>
                <w:bCs/>
                <w:color w:val="000000"/>
                <w:sz w:val="16"/>
                <w:szCs w:val="22"/>
                <w:lang w:eastAsia="en-US"/>
              </w:rPr>
              <w:t>9</w:t>
            </w:r>
          </w:p>
        </w:tc>
        <w:tc>
          <w:tcPr>
            <w:tcW w:w="4258" w:type="pct"/>
            <w:hideMark/>
          </w:tcPr>
          <w:p w:rsidR="007A46C4" w:rsidRPr="00C65F85" w:rsidRDefault="007A46C4" w:rsidP="008A36B9">
            <w:pPr>
              <w:spacing w:beforeLines="0" w:before="0" w:afterLines="0" w:after="0"/>
              <w:rPr>
                <w:rFonts w:ascii="Calibri" w:hAnsi="Calibri" w:cs="Calibri"/>
                <w:bCs/>
                <w:color w:val="000000"/>
                <w:sz w:val="16"/>
                <w:szCs w:val="22"/>
                <w:lang w:eastAsia="en-US"/>
              </w:rPr>
            </w:pPr>
            <w:r w:rsidRPr="00C65F85">
              <w:rPr>
                <w:rFonts w:ascii="Calibri" w:hAnsi="Calibri" w:cs="Calibri"/>
                <w:bCs/>
                <w:color w:val="000000"/>
                <w:sz w:val="16"/>
                <w:szCs w:val="22"/>
                <w:lang w:eastAsia="en-US"/>
              </w:rPr>
              <w:t>Random Uncertainty</w:t>
            </w:r>
          </w:p>
        </w:tc>
      </w:tr>
      <w:tr w:rsidR="00C65F85" w:rsidRPr="00582FAE" w:rsidTr="00C65F85">
        <w:trPr>
          <w:trHeight w:val="285"/>
          <w:jc w:val="center"/>
        </w:trPr>
        <w:tc>
          <w:tcPr>
            <w:tcW w:w="742" w:type="pct"/>
          </w:tcPr>
          <w:p w:rsidR="00C65F85" w:rsidRPr="00C65F85" w:rsidRDefault="00C65F85" w:rsidP="00C65F85">
            <w:pPr>
              <w:spacing w:beforeLines="0" w:before="0" w:afterLines="0" w:after="0"/>
              <w:jc w:val="center"/>
              <w:rPr>
                <w:rFonts w:ascii="Calibri" w:hAnsi="Calibri" w:cs="Calibri"/>
                <w:bCs/>
                <w:color w:val="000000"/>
                <w:sz w:val="16"/>
                <w:szCs w:val="22"/>
                <w:lang w:eastAsia="en-US"/>
              </w:rPr>
            </w:pPr>
            <w:r w:rsidRPr="00C65F85">
              <w:rPr>
                <w:rFonts w:ascii="Calibri" w:hAnsi="Calibri" w:cs="Calibri"/>
                <w:bCs/>
                <w:color w:val="000000"/>
                <w:sz w:val="16"/>
                <w:szCs w:val="22"/>
                <w:lang w:eastAsia="en-US"/>
              </w:rPr>
              <w:t>10</w:t>
            </w:r>
          </w:p>
        </w:tc>
        <w:tc>
          <w:tcPr>
            <w:tcW w:w="4258" w:type="pct"/>
          </w:tcPr>
          <w:p w:rsidR="00C65F85" w:rsidRPr="00C65F85" w:rsidRDefault="00C65F85" w:rsidP="008A36B9">
            <w:pPr>
              <w:spacing w:beforeLines="0" w:before="0" w:afterLines="0" w:after="0"/>
              <w:rPr>
                <w:rFonts w:ascii="Calibri" w:hAnsi="Calibri" w:cs="Calibri"/>
                <w:bCs/>
                <w:color w:val="000000"/>
                <w:sz w:val="16"/>
                <w:szCs w:val="22"/>
                <w:lang w:eastAsia="en-US"/>
              </w:rPr>
            </w:pPr>
            <w:r w:rsidRPr="00C65F85">
              <w:rPr>
                <w:rFonts w:ascii="Calibri" w:hAnsi="Calibri" w:cs="Calibri"/>
                <w:bCs/>
                <w:color w:val="000000"/>
                <w:sz w:val="16"/>
                <w:szCs w:val="22"/>
                <w:lang w:eastAsia="en-US"/>
              </w:rPr>
              <w:t>Influence of XPD</w:t>
            </w:r>
          </w:p>
        </w:tc>
      </w:tr>
      <w:tr w:rsidR="00C65F85" w:rsidRPr="00582FAE" w:rsidTr="00C65F85">
        <w:trPr>
          <w:trHeight w:val="285"/>
          <w:jc w:val="center"/>
        </w:trPr>
        <w:tc>
          <w:tcPr>
            <w:tcW w:w="742" w:type="pct"/>
          </w:tcPr>
          <w:p w:rsidR="00C65F85" w:rsidRPr="00C65F85" w:rsidRDefault="00C65F85" w:rsidP="00C65F85">
            <w:pPr>
              <w:spacing w:beforeLines="0" w:before="0" w:afterLines="0" w:after="0"/>
              <w:jc w:val="center"/>
              <w:rPr>
                <w:rFonts w:ascii="Calibri" w:hAnsi="Calibri" w:cs="Calibri"/>
                <w:bCs/>
                <w:color w:val="000000"/>
                <w:sz w:val="16"/>
                <w:szCs w:val="22"/>
                <w:lang w:eastAsia="en-US"/>
              </w:rPr>
            </w:pPr>
            <w:r w:rsidRPr="00C65F85">
              <w:rPr>
                <w:rFonts w:ascii="Calibri" w:hAnsi="Calibri" w:cs="Calibri"/>
                <w:bCs/>
                <w:color w:val="000000"/>
                <w:sz w:val="16"/>
                <w:szCs w:val="22"/>
                <w:lang w:eastAsia="en-US"/>
              </w:rPr>
              <w:t>15</w:t>
            </w:r>
          </w:p>
        </w:tc>
        <w:tc>
          <w:tcPr>
            <w:tcW w:w="4258" w:type="pct"/>
          </w:tcPr>
          <w:p w:rsidR="00C65F85" w:rsidRPr="00C65F85" w:rsidRDefault="00C65F85" w:rsidP="008A36B9">
            <w:pPr>
              <w:spacing w:beforeLines="0" w:before="0" w:afterLines="0" w:after="0"/>
              <w:rPr>
                <w:rFonts w:ascii="Calibri" w:hAnsi="Calibri" w:cs="Calibri"/>
                <w:bCs/>
                <w:color w:val="000000"/>
                <w:sz w:val="16"/>
                <w:szCs w:val="22"/>
                <w:lang w:eastAsia="en-US"/>
              </w:rPr>
            </w:pPr>
            <w:r w:rsidRPr="00C65F85">
              <w:rPr>
                <w:rFonts w:ascii="Calibri" w:hAnsi="Calibri" w:cs="Calibri"/>
                <w:bCs/>
                <w:color w:val="000000"/>
                <w:sz w:val="16"/>
                <w:szCs w:val="22"/>
                <w:lang w:eastAsia="en-US"/>
              </w:rPr>
              <w:t>Multiple measurement antenna uncertainty</w:t>
            </w:r>
          </w:p>
        </w:tc>
      </w:tr>
      <w:tr w:rsidR="00C65F85" w:rsidRPr="00582FAE" w:rsidTr="00C65F85">
        <w:trPr>
          <w:trHeight w:val="285"/>
          <w:jc w:val="center"/>
        </w:trPr>
        <w:tc>
          <w:tcPr>
            <w:tcW w:w="742" w:type="pct"/>
          </w:tcPr>
          <w:p w:rsidR="00C65F85" w:rsidRPr="00C65F85" w:rsidRDefault="00C65F85" w:rsidP="00C65F85">
            <w:pPr>
              <w:spacing w:beforeLines="0" w:before="0" w:afterLines="0" w:after="0"/>
              <w:jc w:val="center"/>
              <w:rPr>
                <w:rFonts w:ascii="Calibri" w:hAnsi="Calibri" w:cs="Calibri"/>
                <w:bCs/>
                <w:color w:val="000000"/>
                <w:sz w:val="16"/>
                <w:szCs w:val="22"/>
                <w:lang w:eastAsia="en-US"/>
              </w:rPr>
            </w:pPr>
            <w:r w:rsidRPr="00C65F85">
              <w:rPr>
                <w:rFonts w:ascii="Calibri" w:hAnsi="Calibri" w:cs="Calibri"/>
                <w:bCs/>
                <w:color w:val="000000"/>
                <w:sz w:val="16"/>
                <w:szCs w:val="22"/>
                <w:lang w:eastAsia="en-US"/>
              </w:rPr>
              <w:t>20</w:t>
            </w:r>
          </w:p>
        </w:tc>
        <w:tc>
          <w:tcPr>
            <w:tcW w:w="4258" w:type="pct"/>
          </w:tcPr>
          <w:p w:rsidR="00C65F85" w:rsidRPr="00C65F85" w:rsidRDefault="00C65F85" w:rsidP="008A36B9">
            <w:pPr>
              <w:spacing w:beforeLines="0" w:before="0" w:afterLines="0" w:after="0"/>
              <w:rPr>
                <w:rFonts w:ascii="Calibri" w:hAnsi="Calibri" w:cs="Calibri"/>
                <w:bCs/>
                <w:color w:val="000000"/>
                <w:sz w:val="16"/>
                <w:szCs w:val="22"/>
                <w:lang w:eastAsia="en-US"/>
              </w:rPr>
            </w:pPr>
            <w:r w:rsidRPr="00C65F85">
              <w:rPr>
                <w:rFonts w:ascii="Calibri" w:hAnsi="Calibri" w:cs="Calibri"/>
                <w:bCs/>
                <w:color w:val="000000"/>
                <w:sz w:val="16"/>
                <w:szCs w:val="22"/>
                <w:lang w:eastAsia="en-US"/>
              </w:rPr>
              <w:t>Uncertainty of the Network analyzer</w:t>
            </w:r>
          </w:p>
        </w:tc>
      </w:tr>
      <w:tr w:rsidR="007A46C4" w:rsidRPr="00582FAE" w:rsidTr="00C65F85">
        <w:trPr>
          <w:trHeight w:val="285"/>
          <w:jc w:val="center"/>
        </w:trPr>
        <w:tc>
          <w:tcPr>
            <w:tcW w:w="742" w:type="pct"/>
            <w:hideMark/>
          </w:tcPr>
          <w:p w:rsidR="007A46C4" w:rsidRPr="00C65F85" w:rsidRDefault="007A46C4" w:rsidP="00C65F85">
            <w:pPr>
              <w:spacing w:beforeLines="0" w:before="0" w:afterLines="0" w:after="0"/>
              <w:jc w:val="center"/>
              <w:rPr>
                <w:rFonts w:ascii="Calibri" w:hAnsi="Calibri" w:cs="Calibri"/>
                <w:bCs/>
                <w:color w:val="000000"/>
                <w:sz w:val="16"/>
                <w:szCs w:val="22"/>
                <w:lang w:eastAsia="en-US"/>
              </w:rPr>
            </w:pPr>
            <w:r w:rsidRPr="00C65F85">
              <w:rPr>
                <w:rFonts w:ascii="Calibri" w:hAnsi="Calibri" w:cs="Calibri"/>
                <w:bCs/>
                <w:color w:val="000000"/>
                <w:sz w:val="16"/>
                <w:szCs w:val="22"/>
                <w:lang w:eastAsia="en-US"/>
              </w:rPr>
              <w:t>22</w:t>
            </w:r>
          </w:p>
        </w:tc>
        <w:tc>
          <w:tcPr>
            <w:tcW w:w="4258" w:type="pct"/>
            <w:hideMark/>
          </w:tcPr>
          <w:p w:rsidR="007A46C4" w:rsidRPr="00C65F85" w:rsidRDefault="007A46C4" w:rsidP="008A36B9">
            <w:pPr>
              <w:spacing w:beforeLines="0" w:before="0" w:afterLines="0" w:after="0"/>
              <w:rPr>
                <w:rFonts w:ascii="Calibri" w:hAnsi="Calibri" w:cs="Calibri"/>
                <w:bCs/>
                <w:color w:val="000000"/>
                <w:sz w:val="16"/>
                <w:szCs w:val="22"/>
                <w:lang w:eastAsia="en-US"/>
              </w:rPr>
            </w:pPr>
            <w:r w:rsidRPr="00C65F85">
              <w:rPr>
                <w:rFonts w:ascii="Calibri" w:hAnsi="Calibri" w:cs="Calibri"/>
                <w:bCs/>
                <w:color w:val="000000"/>
                <w:sz w:val="16"/>
                <w:szCs w:val="22"/>
                <w:lang w:eastAsia="en-US"/>
              </w:rPr>
              <w:t>Uncertainty of the absolute gain of the calibration antenna</w:t>
            </w:r>
          </w:p>
        </w:tc>
      </w:tr>
      <w:tr w:rsidR="007A46C4" w:rsidRPr="00E25D64" w:rsidTr="00C65F85">
        <w:trPr>
          <w:trHeight w:val="285"/>
          <w:jc w:val="center"/>
        </w:trPr>
        <w:tc>
          <w:tcPr>
            <w:tcW w:w="742" w:type="pct"/>
            <w:hideMark/>
          </w:tcPr>
          <w:p w:rsidR="007A46C4" w:rsidRPr="00C65F85" w:rsidRDefault="007A46C4" w:rsidP="00C65F85">
            <w:pPr>
              <w:spacing w:beforeLines="0" w:before="0" w:afterLines="0" w:after="0"/>
              <w:jc w:val="center"/>
              <w:rPr>
                <w:rFonts w:ascii="Calibri" w:hAnsi="Calibri" w:cs="Calibri"/>
                <w:bCs/>
                <w:color w:val="000000"/>
                <w:sz w:val="16"/>
                <w:szCs w:val="22"/>
                <w:lang w:eastAsia="en-US"/>
              </w:rPr>
            </w:pPr>
            <w:r w:rsidRPr="00C65F85">
              <w:rPr>
                <w:rFonts w:ascii="Calibri" w:hAnsi="Calibri" w:cs="Calibri"/>
                <w:bCs/>
                <w:color w:val="000000"/>
                <w:sz w:val="16"/>
                <w:szCs w:val="22"/>
                <w:lang w:eastAsia="en-US"/>
              </w:rPr>
              <w:t>25</w:t>
            </w:r>
          </w:p>
        </w:tc>
        <w:tc>
          <w:tcPr>
            <w:tcW w:w="4258" w:type="pct"/>
            <w:hideMark/>
          </w:tcPr>
          <w:p w:rsidR="007A46C4" w:rsidRPr="00C65F85" w:rsidRDefault="007A46C4" w:rsidP="008A36B9">
            <w:pPr>
              <w:spacing w:beforeLines="0" w:before="0" w:afterLines="0" w:after="0"/>
              <w:rPr>
                <w:rFonts w:ascii="Calibri" w:hAnsi="Calibri" w:cs="Calibri"/>
                <w:bCs/>
                <w:color w:val="000000"/>
                <w:sz w:val="16"/>
                <w:szCs w:val="22"/>
                <w:lang w:eastAsia="en-US"/>
              </w:rPr>
            </w:pPr>
            <w:r w:rsidRPr="00C65F85">
              <w:rPr>
                <w:rFonts w:ascii="Calibri" w:hAnsi="Calibri" w:cs="Calibri"/>
                <w:bCs/>
                <w:color w:val="000000"/>
                <w:sz w:val="16"/>
                <w:szCs w:val="22"/>
                <w:lang w:eastAsia="en-US"/>
              </w:rPr>
              <w:t>Quality of the Quiet Zone for calibration process</w:t>
            </w:r>
          </w:p>
        </w:tc>
      </w:tr>
      <w:tr w:rsidR="00C65F85" w:rsidRPr="00E25D64" w:rsidTr="00C65F85">
        <w:trPr>
          <w:trHeight w:val="285"/>
          <w:jc w:val="center"/>
        </w:trPr>
        <w:tc>
          <w:tcPr>
            <w:tcW w:w="742" w:type="pct"/>
          </w:tcPr>
          <w:p w:rsidR="00C65F85" w:rsidRPr="00C65F85" w:rsidRDefault="00C65F85" w:rsidP="00C65F85">
            <w:pPr>
              <w:spacing w:beforeLines="0" w:before="0" w:afterLines="0" w:after="0"/>
              <w:jc w:val="center"/>
              <w:rPr>
                <w:rFonts w:ascii="Calibri" w:hAnsi="Calibri" w:cs="Calibri"/>
                <w:bCs/>
                <w:color w:val="000000"/>
                <w:sz w:val="16"/>
                <w:szCs w:val="22"/>
                <w:lang w:eastAsia="en-US"/>
              </w:rPr>
            </w:pPr>
            <w:r w:rsidRPr="00C65F85">
              <w:rPr>
                <w:rFonts w:ascii="Calibri" w:hAnsi="Calibri" w:cs="Calibri"/>
                <w:bCs/>
                <w:color w:val="000000"/>
                <w:sz w:val="16"/>
                <w:szCs w:val="22"/>
                <w:lang w:eastAsia="en-US"/>
              </w:rPr>
              <w:t>26</w:t>
            </w:r>
          </w:p>
        </w:tc>
        <w:tc>
          <w:tcPr>
            <w:tcW w:w="4258" w:type="pct"/>
          </w:tcPr>
          <w:p w:rsidR="00C65F85" w:rsidRPr="00C65F85" w:rsidRDefault="00C65F85" w:rsidP="008A36B9">
            <w:pPr>
              <w:spacing w:beforeLines="0" w:before="0" w:afterLines="0" w:after="0"/>
              <w:rPr>
                <w:rFonts w:ascii="Calibri" w:hAnsi="Calibri" w:cs="Calibri"/>
                <w:bCs/>
                <w:color w:val="000000"/>
                <w:sz w:val="16"/>
                <w:szCs w:val="22"/>
                <w:lang w:eastAsia="en-US"/>
              </w:rPr>
            </w:pPr>
            <w:r w:rsidRPr="00C65F85">
              <w:rPr>
                <w:rFonts w:ascii="Calibri" w:hAnsi="Calibri" w:cs="Calibri"/>
                <w:bCs/>
                <w:color w:val="000000"/>
                <w:sz w:val="16"/>
                <w:szCs w:val="22"/>
                <w:lang w:eastAsia="en-US"/>
              </w:rPr>
              <w:t>Influence of the calibration antenna feed cable</w:t>
            </w:r>
          </w:p>
        </w:tc>
      </w:tr>
    </w:tbl>
    <w:p w:rsidR="00DC201C" w:rsidRPr="00C36BA8" w:rsidRDefault="00DC201C" w:rsidP="00DC201C">
      <w:pPr>
        <w:spacing w:before="120" w:after="120"/>
        <w:rPr>
          <w:b/>
          <w:i/>
          <w:sz w:val="22"/>
        </w:rPr>
      </w:pPr>
      <w:r w:rsidRPr="00C36BA8">
        <w:rPr>
          <w:b/>
          <w:i/>
          <w:sz w:val="22"/>
        </w:rPr>
        <w:t>Proposal 3: Consider negligible impact on OBW uncertainty for MU terms listed in Table 2 above.</w:t>
      </w:r>
    </w:p>
    <w:p w:rsidR="0001559F" w:rsidRDefault="0001559F" w:rsidP="00B763A3">
      <w:pPr>
        <w:spacing w:before="120" w:after="120"/>
      </w:pPr>
    </w:p>
    <w:p w:rsidR="00C65F85" w:rsidRDefault="00C65F85" w:rsidP="00C65F85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b/>
          <w:noProof w:val="0"/>
          <w:sz w:val="21"/>
          <w:lang w:eastAsia="ja-JP"/>
        </w:rPr>
      </w:pPr>
      <w:r w:rsidRPr="00B34B18">
        <w:rPr>
          <w:rFonts w:hint="eastAsia"/>
          <w:b/>
          <w:noProof w:val="0"/>
          <w:sz w:val="21"/>
          <w:lang w:eastAsia="ja-JP"/>
        </w:rPr>
        <w:t>2</w:t>
      </w:r>
      <w:r w:rsidRPr="00B34B18">
        <w:rPr>
          <w:b/>
          <w:noProof w:val="0"/>
          <w:sz w:val="21"/>
          <w:lang w:eastAsia="ja-JP"/>
        </w:rPr>
        <w:t>.</w:t>
      </w:r>
      <w:r>
        <w:rPr>
          <w:b/>
          <w:noProof w:val="0"/>
          <w:sz w:val="21"/>
          <w:lang w:eastAsia="ja-JP"/>
        </w:rPr>
        <w:t>3</w:t>
      </w:r>
      <w:r w:rsidRPr="00B34B18">
        <w:rPr>
          <w:b/>
          <w:noProof w:val="0"/>
          <w:sz w:val="21"/>
          <w:lang w:eastAsia="ja-JP"/>
        </w:rPr>
        <w:tab/>
      </w:r>
      <w:r>
        <w:rPr>
          <w:b/>
          <w:noProof w:val="0"/>
          <w:sz w:val="21"/>
          <w:lang w:eastAsia="ja-JP"/>
        </w:rPr>
        <w:t>Noise impact uncertainty</w:t>
      </w:r>
    </w:p>
    <w:p w:rsidR="00C65F85" w:rsidRPr="00C36BA8" w:rsidRDefault="0053509D" w:rsidP="00B763A3">
      <w:pPr>
        <w:spacing w:before="120" w:after="120"/>
        <w:rPr>
          <w:sz w:val="22"/>
        </w:rPr>
      </w:pPr>
      <w:r w:rsidRPr="00C36BA8">
        <w:rPr>
          <w:sz w:val="22"/>
        </w:rPr>
        <w:t>T</w:t>
      </w:r>
      <w:r w:rsidR="00295F4A" w:rsidRPr="00C36BA8">
        <w:rPr>
          <w:sz w:val="22"/>
        </w:rPr>
        <w:t>o characterize the impact of the noise in total MU, sim</w:t>
      </w:r>
      <w:r w:rsidRPr="00C36BA8">
        <w:rPr>
          <w:sz w:val="22"/>
        </w:rPr>
        <w:t>ilar simulations to the ones done in [3] have been done.</w:t>
      </w:r>
    </w:p>
    <w:p w:rsidR="00AD30D2" w:rsidRPr="00C36BA8" w:rsidRDefault="00592F16" w:rsidP="00B763A3">
      <w:pPr>
        <w:spacing w:before="120" w:after="120"/>
        <w:rPr>
          <w:sz w:val="22"/>
        </w:rPr>
      </w:pPr>
      <w:r w:rsidRPr="00C36BA8">
        <w:rPr>
          <w:sz w:val="22"/>
        </w:rPr>
        <w:t>Worst case for the noise impact has been considered in the simulations</w:t>
      </w:r>
      <w:r w:rsidR="00C84269" w:rsidRPr="00C36BA8">
        <w:rPr>
          <w:sz w:val="22"/>
        </w:rPr>
        <w:t xml:space="preserve"> (0 dB SNR for the adjacent channel frequencies</w:t>
      </w:r>
      <w:r w:rsidR="001F6703" w:rsidRPr="00C36BA8">
        <w:rPr>
          <w:sz w:val="22"/>
        </w:rPr>
        <w:t xml:space="preserve"> and 16 dB SNR for the wanted channel frequencies assuming combination of both polarizations) as shown in Figure 1:</w:t>
      </w:r>
    </w:p>
    <w:p w:rsidR="001F6703" w:rsidRPr="003D1F9A" w:rsidRDefault="001F6703" w:rsidP="001F6703">
      <w:pPr>
        <w:pStyle w:val="TH"/>
        <w:spacing w:before="120" w:after="120"/>
        <w:ind w:left="360"/>
        <w:rPr>
          <w:sz w:val="16"/>
        </w:rPr>
      </w:pPr>
      <w:r>
        <w:rPr>
          <w:sz w:val="16"/>
        </w:rPr>
        <w:t>Figure 1</w:t>
      </w:r>
      <w:r w:rsidRPr="003D1F9A">
        <w:rPr>
          <w:sz w:val="16"/>
        </w:rPr>
        <w:t xml:space="preserve">: </w:t>
      </w:r>
      <w:r>
        <w:rPr>
          <w:sz w:val="16"/>
        </w:rPr>
        <w:t xml:space="preserve">Noise addition used in simulations to determine noise impact on OBW measurement </w:t>
      </w:r>
      <w:r w:rsidRPr="003D1F9A">
        <w:rPr>
          <w:sz w:val="16"/>
        </w:rPr>
        <w:t xml:space="preserve">at </w:t>
      </w:r>
      <w:proofErr w:type="spellStart"/>
      <w:r w:rsidRPr="003D1F9A">
        <w:rPr>
          <w:sz w:val="16"/>
        </w:rPr>
        <w:t>mmWave</w:t>
      </w:r>
      <w:proofErr w:type="spellEnd"/>
      <w:r w:rsidRPr="003D1F9A">
        <w:rPr>
          <w:sz w:val="16"/>
        </w:rPr>
        <w:t xml:space="preserve"> frequencies</w:t>
      </w:r>
    </w:p>
    <w:p w:rsidR="001F6703" w:rsidRDefault="001F6703" w:rsidP="001F6703">
      <w:pPr>
        <w:spacing w:before="120" w:after="120"/>
        <w:jc w:val="center"/>
      </w:pPr>
      <w:r>
        <w:rPr>
          <w:noProof/>
        </w:rPr>
        <w:drawing>
          <wp:inline distT="0" distB="0" distL="0" distR="0" wp14:anchorId="4C843F9E" wp14:editId="5A206940">
            <wp:extent cx="3648456" cy="2734056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48456" cy="2734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4269" w:rsidRPr="003D1F9A" w:rsidRDefault="00C84269" w:rsidP="00C84269">
      <w:pPr>
        <w:pStyle w:val="TH"/>
        <w:spacing w:before="120" w:after="120"/>
        <w:ind w:left="360"/>
        <w:rPr>
          <w:sz w:val="16"/>
        </w:rPr>
      </w:pPr>
      <w:r w:rsidRPr="003D1F9A">
        <w:rPr>
          <w:sz w:val="16"/>
        </w:rPr>
        <w:lastRenderedPageBreak/>
        <w:t xml:space="preserve">Table </w:t>
      </w:r>
      <w:r>
        <w:rPr>
          <w:sz w:val="16"/>
        </w:rPr>
        <w:t>3</w:t>
      </w:r>
      <w:r w:rsidRPr="003D1F9A">
        <w:rPr>
          <w:sz w:val="16"/>
        </w:rPr>
        <w:t xml:space="preserve">: </w:t>
      </w:r>
      <w:r>
        <w:rPr>
          <w:sz w:val="16"/>
        </w:rPr>
        <w:t>Noise impact in a OBW measurement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93"/>
        <w:gridCol w:w="2524"/>
        <w:gridCol w:w="3168"/>
      </w:tblGrid>
      <w:tr w:rsidR="00C36395" w:rsidRPr="00C36395" w:rsidTr="00C36395">
        <w:trPr>
          <w:jc w:val="center"/>
        </w:trPr>
        <w:tc>
          <w:tcPr>
            <w:tcW w:w="2493" w:type="dxa"/>
            <w:shd w:val="clear" w:color="auto" w:fill="000000" w:themeFill="text1"/>
          </w:tcPr>
          <w:p w:rsidR="00C36395" w:rsidRPr="00C36395" w:rsidRDefault="00C36395" w:rsidP="00C36395">
            <w:pPr>
              <w:spacing w:before="120" w:after="120"/>
              <w:jc w:val="center"/>
              <w:rPr>
                <w:rFonts w:ascii="Arial" w:hAnsi="Arial" w:cs="Arial"/>
                <w:b/>
                <w:color w:val="FFFFFF" w:themeColor="background1"/>
                <w:sz w:val="18"/>
              </w:rPr>
            </w:pPr>
            <w:r w:rsidRPr="00C36395">
              <w:rPr>
                <w:rFonts w:ascii="Arial" w:hAnsi="Arial" w:cs="Arial"/>
                <w:b/>
                <w:color w:val="FFFFFF" w:themeColor="background1"/>
                <w:sz w:val="18"/>
              </w:rPr>
              <w:t>Wanted channel SNR</w:t>
            </w:r>
          </w:p>
          <w:p w:rsidR="00C36395" w:rsidRPr="00C36395" w:rsidRDefault="00C36395" w:rsidP="00C36395">
            <w:pPr>
              <w:spacing w:before="120" w:after="120"/>
              <w:jc w:val="center"/>
              <w:rPr>
                <w:rFonts w:ascii="Arial" w:hAnsi="Arial" w:cs="Arial"/>
                <w:b/>
                <w:color w:val="FFFFFF" w:themeColor="background1"/>
                <w:sz w:val="18"/>
              </w:rPr>
            </w:pPr>
            <w:r w:rsidRPr="00C36395">
              <w:rPr>
                <w:rFonts w:ascii="Arial" w:hAnsi="Arial" w:cs="Arial"/>
                <w:b/>
                <w:color w:val="FFFFFF" w:themeColor="background1"/>
                <w:sz w:val="18"/>
              </w:rPr>
              <w:t>[dB]</w:t>
            </w:r>
          </w:p>
          <w:p w:rsidR="00C36395" w:rsidRPr="00C36395" w:rsidRDefault="00C36395" w:rsidP="00C36395">
            <w:pPr>
              <w:spacing w:before="120" w:after="120"/>
              <w:jc w:val="center"/>
              <w:rPr>
                <w:rFonts w:ascii="Arial" w:hAnsi="Arial" w:cs="Arial"/>
                <w:b/>
                <w:color w:val="FFFFFF" w:themeColor="background1"/>
                <w:sz w:val="18"/>
              </w:rPr>
            </w:pPr>
            <w:r w:rsidRPr="00C36395">
              <w:rPr>
                <w:i/>
                <w:sz w:val="18"/>
              </w:rPr>
              <w:t>(Adjacent channel SNR+ FR2 ACLR worst case requirement)</w:t>
            </w:r>
          </w:p>
        </w:tc>
        <w:tc>
          <w:tcPr>
            <w:tcW w:w="2524" w:type="dxa"/>
            <w:shd w:val="clear" w:color="auto" w:fill="000000" w:themeFill="text1"/>
          </w:tcPr>
          <w:p w:rsidR="00C36395" w:rsidRPr="00C36395" w:rsidRDefault="00C36395" w:rsidP="00C36395">
            <w:pPr>
              <w:spacing w:before="120" w:after="120"/>
              <w:jc w:val="center"/>
              <w:rPr>
                <w:rFonts w:ascii="Arial" w:hAnsi="Arial" w:cs="Arial"/>
                <w:b/>
                <w:color w:val="FFFFFF" w:themeColor="background1"/>
                <w:sz w:val="18"/>
              </w:rPr>
            </w:pPr>
            <w:r w:rsidRPr="00C36395">
              <w:rPr>
                <w:rFonts w:ascii="Arial" w:hAnsi="Arial" w:cs="Arial"/>
                <w:b/>
                <w:color w:val="FFFFFF" w:themeColor="background1"/>
                <w:sz w:val="18"/>
              </w:rPr>
              <w:t>Adjacent channel SNR</w:t>
            </w:r>
          </w:p>
          <w:p w:rsidR="00C36395" w:rsidRPr="00C36395" w:rsidRDefault="00C36395" w:rsidP="00C36395">
            <w:pPr>
              <w:spacing w:before="120" w:after="120"/>
              <w:jc w:val="center"/>
              <w:rPr>
                <w:rFonts w:ascii="Arial" w:hAnsi="Arial" w:cs="Arial"/>
                <w:b/>
                <w:color w:val="FFFFFF" w:themeColor="background1"/>
                <w:sz w:val="18"/>
              </w:rPr>
            </w:pPr>
            <w:r w:rsidRPr="00C36395">
              <w:rPr>
                <w:rFonts w:ascii="Arial" w:hAnsi="Arial" w:cs="Arial"/>
                <w:b/>
                <w:color w:val="FFFFFF" w:themeColor="background1"/>
                <w:sz w:val="18"/>
              </w:rPr>
              <w:t>[dB]</w:t>
            </w:r>
          </w:p>
        </w:tc>
        <w:tc>
          <w:tcPr>
            <w:tcW w:w="3168" w:type="dxa"/>
            <w:shd w:val="clear" w:color="auto" w:fill="000000" w:themeFill="text1"/>
          </w:tcPr>
          <w:p w:rsidR="00C36395" w:rsidRPr="00C36395" w:rsidRDefault="00C36395" w:rsidP="00C36395">
            <w:pPr>
              <w:spacing w:before="120" w:after="120"/>
              <w:jc w:val="center"/>
              <w:rPr>
                <w:rFonts w:ascii="Arial" w:hAnsi="Arial" w:cs="Arial"/>
                <w:b/>
                <w:color w:val="FFFFFF" w:themeColor="background1"/>
                <w:sz w:val="18"/>
              </w:rPr>
            </w:pPr>
            <w:r w:rsidRPr="00C36395">
              <w:rPr>
                <w:rFonts w:ascii="Arial" w:hAnsi="Arial" w:cs="Arial"/>
                <w:b/>
                <w:color w:val="FFFFFF" w:themeColor="background1"/>
                <w:sz w:val="18"/>
              </w:rPr>
              <w:t>Resulting MU due to noise [%CBW]</w:t>
            </w:r>
          </w:p>
        </w:tc>
      </w:tr>
      <w:tr w:rsidR="00C36395" w:rsidRPr="00C36395" w:rsidTr="00C36395">
        <w:trPr>
          <w:trHeight w:val="140"/>
          <w:jc w:val="center"/>
        </w:trPr>
        <w:tc>
          <w:tcPr>
            <w:tcW w:w="2493" w:type="dxa"/>
          </w:tcPr>
          <w:p w:rsidR="00C36395" w:rsidRPr="00C36395" w:rsidRDefault="00C36395" w:rsidP="00DC201C">
            <w:pPr>
              <w:spacing w:before="120" w:after="120"/>
              <w:jc w:val="center"/>
              <w:rPr>
                <w:sz w:val="18"/>
              </w:rPr>
            </w:pPr>
            <w:r w:rsidRPr="00C36395">
              <w:rPr>
                <w:sz w:val="18"/>
              </w:rPr>
              <w:t>16 dB</w:t>
            </w:r>
          </w:p>
        </w:tc>
        <w:tc>
          <w:tcPr>
            <w:tcW w:w="2524" w:type="dxa"/>
          </w:tcPr>
          <w:p w:rsidR="00C36395" w:rsidRPr="00C36395" w:rsidRDefault="00C36395" w:rsidP="00DC201C">
            <w:pPr>
              <w:spacing w:before="120" w:after="120"/>
              <w:jc w:val="center"/>
              <w:rPr>
                <w:i/>
                <w:sz w:val="18"/>
              </w:rPr>
            </w:pPr>
            <w:r w:rsidRPr="00C36395">
              <w:rPr>
                <w:sz w:val="18"/>
              </w:rPr>
              <w:t>0 dB</w:t>
            </w:r>
          </w:p>
        </w:tc>
        <w:tc>
          <w:tcPr>
            <w:tcW w:w="3168" w:type="dxa"/>
          </w:tcPr>
          <w:p w:rsidR="00C36395" w:rsidRPr="00C36395" w:rsidRDefault="00C36395" w:rsidP="00C36395">
            <w:pPr>
              <w:spacing w:before="120" w:after="120"/>
              <w:jc w:val="center"/>
              <w:rPr>
                <w:sz w:val="18"/>
              </w:rPr>
            </w:pPr>
            <w:r w:rsidRPr="00C36395">
              <w:rPr>
                <w:sz w:val="18"/>
              </w:rPr>
              <w:t>0.</w:t>
            </w:r>
            <w:r w:rsidR="00C84269">
              <w:rPr>
                <w:sz w:val="18"/>
              </w:rPr>
              <w:t>41</w:t>
            </w:r>
            <w:r w:rsidRPr="00C36395">
              <w:rPr>
                <w:sz w:val="18"/>
              </w:rPr>
              <w:t>%</w:t>
            </w:r>
          </w:p>
        </w:tc>
      </w:tr>
    </w:tbl>
    <w:p w:rsidR="005E191B" w:rsidRDefault="005E191B">
      <w:pPr>
        <w:spacing w:beforeLines="0" w:before="0" w:afterLines="0" w:after="160" w:line="259" w:lineRule="auto"/>
      </w:pPr>
    </w:p>
    <w:p w:rsidR="00C84269" w:rsidRPr="00C36BA8" w:rsidRDefault="00C84269" w:rsidP="00C84269">
      <w:pPr>
        <w:spacing w:before="120" w:after="120"/>
        <w:rPr>
          <w:b/>
          <w:i/>
          <w:sz w:val="22"/>
        </w:rPr>
      </w:pPr>
      <w:r w:rsidRPr="00C36BA8">
        <w:rPr>
          <w:b/>
          <w:i/>
          <w:sz w:val="22"/>
        </w:rPr>
        <w:t>Proposal 4: Consider 0.</w:t>
      </w:r>
      <w:r w:rsidR="001F6703" w:rsidRPr="00C36BA8">
        <w:rPr>
          <w:b/>
          <w:i/>
          <w:sz w:val="22"/>
        </w:rPr>
        <w:t>41</w:t>
      </w:r>
      <w:r w:rsidRPr="00C36BA8">
        <w:rPr>
          <w:b/>
          <w:i/>
          <w:sz w:val="22"/>
        </w:rPr>
        <w:t>% of channel BW as the noise impact for OBW measurement.</w:t>
      </w:r>
    </w:p>
    <w:p w:rsidR="00C84269" w:rsidRDefault="00C84269" w:rsidP="00C84269">
      <w:pPr>
        <w:spacing w:before="120" w:after="120"/>
        <w:rPr>
          <w:b/>
          <w:i/>
        </w:rPr>
      </w:pPr>
    </w:p>
    <w:p w:rsidR="00C84269" w:rsidRDefault="00C84269" w:rsidP="00C84269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b/>
          <w:noProof w:val="0"/>
          <w:sz w:val="21"/>
          <w:lang w:eastAsia="ja-JP"/>
        </w:rPr>
      </w:pPr>
      <w:r w:rsidRPr="00B34B18">
        <w:rPr>
          <w:rFonts w:hint="eastAsia"/>
          <w:b/>
          <w:noProof w:val="0"/>
          <w:sz w:val="21"/>
          <w:lang w:eastAsia="ja-JP"/>
        </w:rPr>
        <w:t>2</w:t>
      </w:r>
      <w:r w:rsidRPr="00B34B18">
        <w:rPr>
          <w:b/>
          <w:noProof w:val="0"/>
          <w:sz w:val="21"/>
          <w:lang w:eastAsia="ja-JP"/>
        </w:rPr>
        <w:t>.</w:t>
      </w:r>
      <w:r>
        <w:rPr>
          <w:b/>
          <w:noProof w:val="0"/>
          <w:sz w:val="21"/>
          <w:lang w:eastAsia="ja-JP"/>
        </w:rPr>
        <w:t>4</w:t>
      </w:r>
      <w:r w:rsidRPr="00B34B18">
        <w:rPr>
          <w:b/>
          <w:noProof w:val="0"/>
          <w:sz w:val="21"/>
          <w:lang w:eastAsia="ja-JP"/>
        </w:rPr>
        <w:tab/>
      </w:r>
      <w:r>
        <w:rPr>
          <w:b/>
          <w:noProof w:val="0"/>
          <w:sz w:val="21"/>
          <w:lang w:eastAsia="ja-JP"/>
        </w:rPr>
        <w:t>Total OBW measurement uncertainty</w:t>
      </w:r>
    </w:p>
    <w:p w:rsidR="00C84269" w:rsidRPr="00C36BA8" w:rsidRDefault="00C84269" w:rsidP="00C36BA8">
      <w:pPr>
        <w:spacing w:before="120" w:after="120"/>
        <w:rPr>
          <w:sz w:val="22"/>
        </w:rPr>
      </w:pPr>
      <w:r w:rsidRPr="00C36BA8">
        <w:rPr>
          <w:sz w:val="22"/>
        </w:rPr>
        <w:t xml:space="preserve">Total OBW MU will be calculated doing RSS of </w:t>
      </w:r>
      <w:proofErr w:type="spellStart"/>
      <w:r w:rsidRPr="00C36BA8">
        <w:rPr>
          <w:sz w:val="22"/>
        </w:rPr>
        <w:t>QoQZ</w:t>
      </w:r>
      <w:proofErr w:type="spellEnd"/>
      <w:r w:rsidRPr="00C36BA8">
        <w:rPr>
          <w:sz w:val="22"/>
        </w:rPr>
        <w:t xml:space="preserve"> and </w:t>
      </w:r>
      <w:r w:rsidRPr="00C36BA8">
        <w:rPr>
          <w:sz w:val="22"/>
          <w:lang w:eastAsia="en-US"/>
        </w:rPr>
        <w:t>Uncertainty of the RF OBW measurement equipment, calculating expanded MU and adding systematic error caused by noise impact.</w:t>
      </w:r>
    </w:p>
    <w:p w:rsidR="00430104" w:rsidRPr="00C36BA8" w:rsidRDefault="00430104" w:rsidP="00C36BA8">
      <w:pPr>
        <w:spacing w:before="120" w:after="120"/>
        <w:rPr>
          <w:sz w:val="22"/>
        </w:rPr>
      </w:pPr>
      <w:r w:rsidRPr="00C36BA8">
        <w:rPr>
          <w:sz w:val="22"/>
        </w:rPr>
        <w:t xml:space="preserve">Hence total MU for OBW will be </w:t>
      </w:r>
      <w:r w:rsidR="0083346C" w:rsidRPr="00C36BA8">
        <w:rPr>
          <w:sz w:val="22"/>
        </w:rPr>
        <w:t>2.57</w:t>
      </w:r>
      <w:r w:rsidR="00AA260F" w:rsidRPr="00C36BA8">
        <w:rPr>
          <w:sz w:val="22"/>
        </w:rPr>
        <w:t>% of CBW (same values for either IFF 15cm or 30 cm)</w:t>
      </w:r>
      <w:r w:rsidR="00C84269" w:rsidRPr="00C36BA8">
        <w:rPr>
          <w:sz w:val="22"/>
        </w:rPr>
        <w:t>.</w:t>
      </w:r>
    </w:p>
    <w:p w:rsidR="001F6703" w:rsidRDefault="001F6703" w:rsidP="0083346C">
      <w:pPr>
        <w:pStyle w:val="TH"/>
        <w:spacing w:before="120" w:after="120"/>
        <w:ind w:left="360"/>
      </w:pPr>
      <w:r w:rsidRPr="003D1F9A">
        <w:rPr>
          <w:sz w:val="16"/>
        </w:rPr>
        <w:t>Ta</w:t>
      </w:r>
      <w:bookmarkStart w:id="3" w:name="_GoBack"/>
      <w:bookmarkEnd w:id="3"/>
      <w:r w:rsidRPr="003D1F9A">
        <w:rPr>
          <w:sz w:val="16"/>
        </w:rPr>
        <w:t xml:space="preserve">ble </w:t>
      </w:r>
      <w:r>
        <w:rPr>
          <w:sz w:val="16"/>
        </w:rPr>
        <w:t>4</w:t>
      </w:r>
      <w:r w:rsidRPr="003D1F9A">
        <w:rPr>
          <w:sz w:val="16"/>
        </w:rPr>
        <w:t xml:space="preserve">: </w:t>
      </w:r>
      <w:r w:rsidR="0083346C">
        <w:rPr>
          <w:sz w:val="16"/>
        </w:rPr>
        <w:t>Total OBW MU</w:t>
      </w:r>
    </w:p>
    <w:tbl>
      <w:tblPr>
        <w:tblW w:w="1030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"/>
        <w:gridCol w:w="2997"/>
        <w:gridCol w:w="1290"/>
        <w:gridCol w:w="1471"/>
        <w:gridCol w:w="827"/>
        <w:gridCol w:w="1492"/>
        <w:gridCol w:w="1706"/>
      </w:tblGrid>
      <w:tr w:rsidR="00DC201C" w:rsidRPr="00D65021" w:rsidTr="00DC201C"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65021">
            <w:pPr>
              <w:spacing w:beforeLines="0" w:before="0" w:afterLines="0"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UID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65021">
            <w:pPr>
              <w:spacing w:beforeLines="0" w:before="0" w:afterLines="0"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Uncertainty source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C201C" w:rsidRDefault="00DC201C" w:rsidP="00D65021">
            <w:pPr>
              <w:spacing w:beforeLines="0" w:before="0" w:afterLines="0"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Uncertainty value</w:t>
            </w:r>
          </w:p>
          <w:p w:rsidR="00DC201C" w:rsidRPr="00D65021" w:rsidRDefault="00DC201C" w:rsidP="00D65021">
            <w:pPr>
              <w:spacing w:beforeLines="0" w:before="0" w:afterLines="0"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[%CBW]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65021">
            <w:pPr>
              <w:spacing w:beforeLines="0" w:before="0" w:afterLines="0"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Distribution of the probability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65021">
            <w:pPr>
              <w:spacing w:beforeLines="0" w:before="0" w:afterLines="0"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 xml:space="preserve">Divisor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65021">
            <w:pPr>
              <w:spacing w:beforeLines="0" w:before="0" w:afterLines="0"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Standard uncertainty (σ) [%CBW]</w:t>
            </w:r>
          </w:p>
        </w:tc>
        <w:tc>
          <w:tcPr>
            <w:tcW w:w="0" w:type="auto"/>
          </w:tcPr>
          <w:p w:rsidR="00DC201C" w:rsidRPr="00D65021" w:rsidRDefault="00DC201C" w:rsidP="00D65021">
            <w:pPr>
              <w:spacing w:beforeLines="0" w:before="0" w:afterLines="0"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Standard uncertainty (σ) [MHz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 xml:space="preserve"> for 400 MHz CBW</w:t>
            </w:r>
            <w:r w:rsidRPr="00D650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]</w:t>
            </w:r>
          </w:p>
        </w:tc>
      </w:tr>
      <w:tr w:rsidR="00DC201C" w:rsidRPr="00D65021" w:rsidTr="00DC201C">
        <w:tc>
          <w:tcPr>
            <w:tcW w:w="0" w:type="auto"/>
            <w:gridSpan w:val="7"/>
            <w:shd w:val="clear" w:color="auto" w:fill="auto"/>
            <w:vAlign w:val="center"/>
            <w:hideMark/>
          </w:tcPr>
          <w:p w:rsidR="00DC201C" w:rsidRPr="00D65021" w:rsidRDefault="00DC201C" w:rsidP="00D65021">
            <w:pPr>
              <w:spacing w:beforeLines="0" w:before="0" w:afterLines="0"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Stage 2: DUT measurement</w:t>
            </w:r>
          </w:p>
        </w:tc>
      </w:tr>
      <w:tr w:rsidR="00DC201C" w:rsidRPr="00DC201C" w:rsidTr="00DC201C"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Positioning misalignment (NOTE 7)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Normal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vAlign w:val="center"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  <w:r w:rsidRPr="00DC201C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</w:tr>
      <w:tr w:rsidR="00DC201C" w:rsidRPr="00DC201C" w:rsidTr="00DC201C"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Measure distance uncertainty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Rectangular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1.73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vAlign w:val="center"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  <w:r w:rsidRPr="00DC201C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</w:tr>
      <w:tr w:rsidR="00DC201C" w:rsidRPr="00DC201C" w:rsidTr="00DC201C"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Quality of Quiet Zone (NOTE 1)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Actual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0.1</w:t>
            </w:r>
          </w:p>
        </w:tc>
        <w:tc>
          <w:tcPr>
            <w:tcW w:w="0" w:type="auto"/>
            <w:vAlign w:val="center"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0.4</w:t>
            </w:r>
          </w:p>
        </w:tc>
      </w:tr>
      <w:tr w:rsidR="00DC201C" w:rsidRPr="00DC201C" w:rsidTr="00DC201C"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Mismatch (NOTE 2, NOTE 7)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Actual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vAlign w:val="center"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  <w:r w:rsidRPr="00DC201C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</w:tr>
      <w:tr w:rsidR="00DC201C" w:rsidRPr="00DC201C" w:rsidTr="00DC201C"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Standing wave between the DUT and measurement antenna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U-shaped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1.41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vAlign w:val="center"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  <w:r w:rsidRPr="00DC201C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</w:tr>
      <w:tr w:rsidR="00DC201C" w:rsidRPr="00DC201C" w:rsidTr="00DC201C"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Uncertainty of the RF OBW measurement equipment (NOTE 3) (NOTE 7)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2.2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Normal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1.1</w:t>
            </w:r>
          </w:p>
        </w:tc>
        <w:tc>
          <w:tcPr>
            <w:tcW w:w="0" w:type="auto"/>
            <w:vAlign w:val="center"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4.4</w:t>
            </w:r>
          </w:p>
        </w:tc>
      </w:tr>
      <w:tr w:rsidR="00DC201C" w:rsidRPr="00DC201C" w:rsidTr="00DC201C"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Phase curvature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U-shaped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1.41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vAlign w:val="center"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  <w:r w:rsidRPr="00DC201C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</w:tr>
      <w:tr w:rsidR="00DC201C" w:rsidRPr="00DC201C" w:rsidTr="00DC201C"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Amplifier uncertainties (NOTE 7)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Normal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vAlign w:val="center"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  <w:r w:rsidRPr="00DC201C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</w:tr>
      <w:tr w:rsidR="00DC201C" w:rsidRPr="00DC201C" w:rsidTr="00DC201C"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Random uncertainty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Normal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vAlign w:val="center"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  <w:r w:rsidRPr="00DC201C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</w:tr>
      <w:tr w:rsidR="00DC201C" w:rsidRPr="00DC201C" w:rsidTr="00DC201C"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Influence of the XPD (NOTE 7)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U-shaped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1.41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vAlign w:val="center"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  <w:r w:rsidRPr="00DC201C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</w:tr>
      <w:tr w:rsidR="00DC201C" w:rsidRPr="00DC201C" w:rsidTr="00DC201C"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Insertion Loss Variation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0D76A3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Rectangular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1.73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vAlign w:val="center"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  <w:r w:rsidRPr="00DC201C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</w:tr>
      <w:tr w:rsidR="00DC201C" w:rsidRPr="00DC201C" w:rsidTr="00DC201C"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RF leakage (from measurement antenna to the receiver/transmitter)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Actual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vAlign w:val="center"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  <w:r w:rsidRPr="00DC201C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</w:tr>
      <w:tr w:rsidR="00DC201C" w:rsidRPr="00DC201C" w:rsidTr="00DC201C"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Influence of beam peak search grid (NOTE 5)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Actual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vAlign w:val="center"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  <w:r w:rsidRPr="00DC201C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</w:tr>
      <w:tr w:rsidR="00DC201C" w:rsidRPr="00DC201C" w:rsidTr="00DC201C"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Multiple measurement antenna uncertainty (NOTE 8)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vAlign w:val="center"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  <w:r w:rsidRPr="00DC201C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</w:tr>
      <w:tr w:rsidR="00DC201C" w:rsidRPr="00DC201C" w:rsidTr="00DC201C"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DUT repositioning (NOTE 8)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Rectangular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1.73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vAlign w:val="center"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  <w:r w:rsidRPr="00DC201C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</w:tr>
      <w:tr w:rsidR="00DC201C" w:rsidRPr="00D65021" w:rsidTr="00DC201C">
        <w:tc>
          <w:tcPr>
            <w:tcW w:w="0" w:type="auto"/>
            <w:gridSpan w:val="7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Stage 1: Calibration measurement </w:t>
            </w:r>
          </w:p>
        </w:tc>
      </w:tr>
      <w:tr w:rsidR="00DC201C" w:rsidRPr="00DC201C" w:rsidTr="00DC201C"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Mismatch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U-shaped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1.41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vAlign w:val="center"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  <w:r w:rsidRPr="00DC201C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</w:tr>
      <w:tr w:rsidR="00DC201C" w:rsidRPr="00DC201C" w:rsidTr="00DC201C"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Amplifier Uncertainties (NOTE 7)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Normal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vAlign w:val="center"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  <w:r w:rsidRPr="00DC201C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</w:tr>
      <w:tr w:rsidR="00DC201C" w:rsidRPr="00DC201C" w:rsidTr="00DC201C"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Misalignment of positioning System (NOTE 7)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Normal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vAlign w:val="center"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  <w:r w:rsidRPr="00DC201C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</w:tr>
      <w:tr w:rsidR="00DC201C" w:rsidRPr="00DC201C" w:rsidTr="00DC201C"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Uncertainty of the Network Analyzer (NOTE 7)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0D76A3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Normal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vAlign w:val="center"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  <w:r w:rsidRPr="00DC201C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</w:tr>
      <w:tr w:rsidR="00DC201C" w:rsidRPr="00DC201C" w:rsidTr="00DC201C"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Uncertainty of the absolute gain of the calibration antenna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Normal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vAlign w:val="center"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  <w:r w:rsidRPr="00DC201C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</w:tr>
      <w:tr w:rsidR="00DC201C" w:rsidRPr="00DC201C" w:rsidTr="00DC201C"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Positioning and pointing misalignment between the reference antenna and the measurement antenna (NOTE 7)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Normal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vAlign w:val="center"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  <w:r w:rsidRPr="00DC201C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</w:tr>
      <w:tr w:rsidR="00DC201C" w:rsidRPr="00DC201C" w:rsidTr="00DC201C"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Phase </w:t>
            </w:r>
            <w:proofErr w:type="spellStart"/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centre</w:t>
            </w:r>
            <w:proofErr w:type="spellEnd"/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offset of calibration antenna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Rectangular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1.73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vAlign w:val="center"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  <w:r w:rsidRPr="00DC201C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</w:tr>
      <w:tr w:rsidR="00DC201C" w:rsidRPr="00DC201C" w:rsidTr="00DC201C"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lastRenderedPageBreak/>
              <w:t>23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Quality of quiet zone for calibration process (NOTE 1)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0.</w:t>
            </w:r>
            <w:r w:rsidRPr="00DC201C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Actual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0.</w:t>
            </w:r>
            <w:r w:rsidRPr="00DC201C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vAlign w:val="center"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C201C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</w:tr>
      <w:tr w:rsidR="00DC201C" w:rsidRPr="00DC201C" w:rsidTr="00DC201C"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Standing wave between reference calibration antenna and measurement antenna (NOTE 7)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U-shaped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1.41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vAlign w:val="center"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  <w:r w:rsidRPr="00DC201C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</w:tr>
      <w:tr w:rsidR="00DC201C" w:rsidRPr="00DC201C" w:rsidTr="00DC201C"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Influence of the calibration antenna feed cable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Normal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vAlign w:val="center"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  <w:r w:rsidRPr="00DC201C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</w:tr>
      <w:tr w:rsidR="00DC201C" w:rsidRPr="00DC201C" w:rsidTr="00DC201C"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Insertion Loss Variation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0.00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Rectangular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1.73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vAlign w:val="center"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  <w:r w:rsidRPr="00DC201C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</w:tr>
      <w:tr w:rsidR="00DC201C" w:rsidRPr="00D65021" w:rsidTr="00DC201C"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Systematic uncertainties (NOTE 6)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Value</w:t>
            </w:r>
          </w:p>
        </w:tc>
        <w:tc>
          <w:tcPr>
            <w:tcW w:w="0" w:type="auto"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DC201C" w:rsidRPr="00D65021" w:rsidTr="00DC201C"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Influence of noise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1F6703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0.41</w:t>
            </w:r>
          </w:p>
        </w:tc>
        <w:tc>
          <w:tcPr>
            <w:tcW w:w="0" w:type="auto"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1.2</w:t>
            </w:r>
          </w:p>
        </w:tc>
      </w:tr>
      <w:tr w:rsidR="00DC201C" w:rsidRPr="00D65021" w:rsidTr="00DC201C"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 xml:space="preserve">Total measurement uncertainty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0" w:type="auto"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DC201C" w:rsidRPr="00D65021" w:rsidTr="00DC201C"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OBW Expanded uncertainty (1.96σ - con</w:t>
            </w:r>
            <w:r w:rsidRPr="00DC201C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fidence interval of 95 %)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2.</w:t>
            </w:r>
            <w:r w:rsidR="001F6703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57</w:t>
            </w:r>
          </w:p>
        </w:tc>
        <w:tc>
          <w:tcPr>
            <w:tcW w:w="0" w:type="auto"/>
            <w:vAlign w:val="center"/>
          </w:tcPr>
          <w:p w:rsidR="00DC201C" w:rsidRPr="00D65021" w:rsidRDefault="001F6703" w:rsidP="00DC201C">
            <w:pPr>
              <w:spacing w:beforeLines="0" w:before="0" w:afterLines="0"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10.30</w:t>
            </w:r>
          </w:p>
        </w:tc>
      </w:tr>
      <w:tr w:rsidR="00DC201C" w:rsidRPr="00D65021" w:rsidTr="0029421D">
        <w:tc>
          <w:tcPr>
            <w:tcW w:w="0" w:type="auto"/>
            <w:gridSpan w:val="7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ind w:firstLineChars="500" w:firstLine="90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NOTE 1: The quality of quiet zone is the same for EIRP and TRP. </w:t>
            </w:r>
          </w:p>
        </w:tc>
      </w:tr>
      <w:tr w:rsidR="00DC201C" w:rsidRPr="00D65021" w:rsidTr="00180671">
        <w:tc>
          <w:tcPr>
            <w:tcW w:w="0" w:type="auto"/>
            <w:gridSpan w:val="7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ind w:firstLineChars="500" w:firstLine="90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NOTE 2: The analysis was done only for the case of operating at max output power, in-band, non-CA.</w:t>
            </w:r>
          </w:p>
        </w:tc>
      </w:tr>
      <w:tr w:rsidR="00DC201C" w:rsidRPr="00D65021" w:rsidTr="006A7DE2">
        <w:tc>
          <w:tcPr>
            <w:tcW w:w="0" w:type="auto"/>
            <w:gridSpan w:val="7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ind w:firstLineChars="500" w:firstLine="90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C201C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NOTE 3: The assessment </w:t>
            </w:r>
            <w:r w:rsidR="00C36BA8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assumes</w:t>
            </w: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maximum DUT output power.</w:t>
            </w:r>
          </w:p>
        </w:tc>
      </w:tr>
      <w:tr w:rsidR="00DC201C" w:rsidRPr="00D65021" w:rsidTr="00CD5FDF">
        <w:tc>
          <w:tcPr>
            <w:tcW w:w="0" w:type="auto"/>
            <w:gridSpan w:val="7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ind w:firstLineChars="500" w:firstLine="90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NOTE 4: Void.</w:t>
            </w:r>
          </w:p>
        </w:tc>
      </w:tr>
      <w:tr w:rsidR="00DC201C" w:rsidRPr="00D65021" w:rsidTr="00121CC7">
        <w:tc>
          <w:tcPr>
            <w:tcW w:w="0" w:type="auto"/>
            <w:gridSpan w:val="7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ind w:firstLineChars="500" w:firstLine="90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NOTE 5: This contributor shall only be considered for EIRP measurements.</w:t>
            </w:r>
          </w:p>
        </w:tc>
      </w:tr>
      <w:tr w:rsidR="00DC201C" w:rsidRPr="00D65021" w:rsidTr="00AA1C5B">
        <w:tc>
          <w:tcPr>
            <w:tcW w:w="0" w:type="auto"/>
            <w:gridSpan w:val="7"/>
            <w:shd w:val="clear" w:color="auto" w:fill="auto"/>
            <w:vAlign w:val="center"/>
            <w:hideMark/>
          </w:tcPr>
          <w:p w:rsidR="00DC201C" w:rsidRPr="00D65021" w:rsidRDefault="00C36BA8" w:rsidP="00C36BA8">
            <w:pPr>
              <w:spacing w:beforeLines="0" w:before="0" w:afterLines="0" w:after="0"/>
              <w:ind w:left="72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  </w:t>
            </w:r>
            <w:r w:rsidR="00DC201C"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NOTE 6: </w:t>
            </w:r>
            <w:proofErr w:type="gramStart"/>
            <w:r w:rsidR="00DC201C"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In order to</w:t>
            </w:r>
            <w:proofErr w:type="gramEnd"/>
            <w:r w:rsidR="00DC201C"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obtain the total measurement uncertainty, systematic uncertainties have to be added to the expanded root sum square of the standard deviations of the Stage 1 and Stage 2 contributors.</w:t>
            </w:r>
          </w:p>
        </w:tc>
      </w:tr>
      <w:tr w:rsidR="00DC201C" w:rsidRPr="00D65021" w:rsidTr="00486997">
        <w:tc>
          <w:tcPr>
            <w:tcW w:w="0" w:type="auto"/>
            <w:gridSpan w:val="7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ind w:firstLineChars="500" w:firstLine="90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NOTE 7:   Void</w:t>
            </w:r>
          </w:p>
        </w:tc>
      </w:tr>
      <w:tr w:rsidR="00DC201C" w:rsidRPr="00D65021" w:rsidTr="00AA252C">
        <w:tc>
          <w:tcPr>
            <w:tcW w:w="0" w:type="auto"/>
            <w:gridSpan w:val="7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ind w:firstLineChars="500" w:firstLine="90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NOTE 8:   </w:t>
            </w:r>
            <w:r w:rsidR="00C36BA8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Void</w:t>
            </w:r>
          </w:p>
        </w:tc>
      </w:tr>
      <w:tr w:rsidR="00DC201C" w:rsidRPr="00D65021" w:rsidTr="00FB72AA">
        <w:tc>
          <w:tcPr>
            <w:tcW w:w="0" w:type="auto"/>
            <w:gridSpan w:val="7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ind w:firstLineChars="500" w:firstLine="90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NOTE 9: </w:t>
            </w:r>
            <w:r w:rsidR="00C36BA8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 Void</w:t>
            </w: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.</w:t>
            </w:r>
          </w:p>
        </w:tc>
      </w:tr>
      <w:tr w:rsidR="00DC201C" w:rsidRPr="00D65021" w:rsidTr="00C36BA8">
        <w:trPr>
          <w:trHeight w:val="60"/>
        </w:trPr>
        <w:tc>
          <w:tcPr>
            <w:tcW w:w="0" w:type="auto"/>
            <w:gridSpan w:val="7"/>
            <w:shd w:val="clear" w:color="auto" w:fill="auto"/>
            <w:vAlign w:val="center"/>
            <w:hideMark/>
          </w:tcPr>
          <w:p w:rsidR="00DC201C" w:rsidRPr="00D65021" w:rsidRDefault="00DC201C" w:rsidP="00DC201C">
            <w:pPr>
              <w:spacing w:beforeLines="0" w:before="0" w:afterLines="0" w:after="0"/>
              <w:ind w:firstLineChars="500" w:firstLine="90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NOTE 10</w:t>
            </w:r>
            <w:r w:rsidRPr="00D6502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:  </w:t>
            </w:r>
            <w:r w:rsidR="00C36BA8" w:rsidRPr="00C36BA8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Applies to the system which has a structure of mechanical feed antenna positioning.</w:t>
            </w:r>
          </w:p>
        </w:tc>
      </w:tr>
    </w:tbl>
    <w:p w:rsidR="001F6703" w:rsidRPr="00C60DB0" w:rsidRDefault="001F6703" w:rsidP="001F6703">
      <w:pPr>
        <w:spacing w:before="120" w:after="120"/>
        <w:rPr>
          <w:b/>
          <w:i/>
          <w:sz w:val="22"/>
        </w:rPr>
      </w:pPr>
      <w:r w:rsidRPr="00C60DB0">
        <w:rPr>
          <w:b/>
          <w:i/>
          <w:sz w:val="22"/>
        </w:rPr>
        <w:t xml:space="preserve">Proposal 5: Consider </w:t>
      </w:r>
      <w:r w:rsidR="0083346C" w:rsidRPr="00C60DB0">
        <w:rPr>
          <w:b/>
          <w:i/>
          <w:sz w:val="22"/>
        </w:rPr>
        <w:t xml:space="preserve">2.57% </w:t>
      </w:r>
      <w:r w:rsidRPr="00C60DB0">
        <w:rPr>
          <w:b/>
          <w:i/>
          <w:sz w:val="22"/>
        </w:rPr>
        <w:t xml:space="preserve">of channel BW as the </w:t>
      </w:r>
      <w:r w:rsidR="0083346C" w:rsidRPr="00C60DB0">
        <w:rPr>
          <w:b/>
          <w:i/>
          <w:sz w:val="22"/>
        </w:rPr>
        <w:t>OBW uncertainty for IFF for D=15cm and D=30 cm and include table 4 in TR 38.903.</w:t>
      </w:r>
    </w:p>
    <w:p w:rsidR="00D22D75" w:rsidRPr="00BC6FBB" w:rsidRDefault="00783E33" w:rsidP="001F6703">
      <w:pPr>
        <w:spacing w:beforeLines="0" w:before="0" w:afterLines="0" w:after="160" w:line="259" w:lineRule="auto"/>
        <w:rPr>
          <w:lang w:val="en-GB"/>
        </w:rPr>
      </w:pPr>
      <w:r>
        <w:pict>
          <v:rect id="_x0000_i1025" style="width:482.05pt;height:1pt" o:hralign="center" o:hrstd="t" o:hrnoshade="t" o:hr="t" fillcolor="#0d0d0d" stroked="f">
            <v:textbox inset="5.85pt,.7pt,5.85pt,.7pt"/>
          </v:rect>
        </w:pict>
      </w:r>
    </w:p>
    <w:p w:rsidR="00D22D75" w:rsidRDefault="00D22D75" w:rsidP="00D22D75">
      <w:pPr>
        <w:pStyle w:val="tdoc-header"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b/>
          <w:noProof w:val="0"/>
        </w:rPr>
      </w:pPr>
      <w:r>
        <w:rPr>
          <w:rFonts w:hint="eastAsia"/>
          <w:b/>
          <w:noProof w:val="0"/>
        </w:rPr>
        <w:t>Conclusion</w:t>
      </w:r>
    </w:p>
    <w:p w:rsidR="00B56B07" w:rsidRPr="00C60DB0" w:rsidRDefault="00D22D75" w:rsidP="00D22D75">
      <w:pPr>
        <w:spacing w:before="120" w:after="120"/>
        <w:rPr>
          <w:rFonts w:eastAsia="MS Mincho"/>
          <w:sz w:val="22"/>
          <w:lang w:val="en-GB"/>
        </w:rPr>
      </w:pPr>
      <w:r w:rsidRPr="00C60DB0">
        <w:rPr>
          <w:rFonts w:eastAsia="MS Mincho" w:hint="eastAsia"/>
          <w:sz w:val="22"/>
          <w:lang w:val="en-GB"/>
        </w:rPr>
        <w:t xml:space="preserve">In this contribution, we </w:t>
      </w:r>
      <w:r w:rsidR="00B56B07" w:rsidRPr="00C60DB0">
        <w:rPr>
          <w:rFonts w:eastAsia="MS Mincho"/>
          <w:sz w:val="22"/>
          <w:lang w:val="en-GB"/>
        </w:rPr>
        <w:t xml:space="preserve">provided company views on </w:t>
      </w:r>
      <w:r w:rsidR="0001559F" w:rsidRPr="00C60DB0">
        <w:rPr>
          <w:rFonts w:eastAsia="MS Mincho"/>
          <w:sz w:val="22"/>
          <w:lang w:val="en-GB"/>
        </w:rPr>
        <w:t>OBW MU for FR2</w:t>
      </w:r>
      <w:r w:rsidR="00B56B07" w:rsidRPr="00C60DB0">
        <w:rPr>
          <w:rFonts w:eastAsia="MS Mincho"/>
          <w:sz w:val="22"/>
          <w:lang w:val="en-GB"/>
        </w:rPr>
        <w:t xml:space="preserve"> (for IFF testing methodology).</w:t>
      </w:r>
    </w:p>
    <w:p w:rsidR="00D22D75" w:rsidRPr="00C60DB0" w:rsidRDefault="00D22D75" w:rsidP="00D22D75">
      <w:pPr>
        <w:spacing w:before="120" w:after="120"/>
        <w:rPr>
          <w:rFonts w:eastAsia="MS Mincho"/>
          <w:sz w:val="22"/>
          <w:lang w:val="en-GB"/>
        </w:rPr>
      </w:pPr>
      <w:r w:rsidRPr="00C60DB0">
        <w:rPr>
          <w:rFonts w:eastAsia="MS Mincho"/>
          <w:sz w:val="22"/>
          <w:lang w:val="en-GB"/>
        </w:rPr>
        <w:t>The following observations and proposals were done:</w:t>
      </w:r>
    </w:p>
    <w:p w:rsidR="0001559F" w:rsidRPr="00C60DB0" w:rsidRDefault="0001559F" w:rsidP="0001559F">
      <w:pPr>
        <w:spacing w:before="120" w:after="120"/>
        <w:rPr>
          <w:b/>
          <w:i/>
          <w:sz w:val="22"/>
        </w:rPr>
      </w:pPr>
      <w:r w:rsidRPr="00C60DB0">
        <w:rPr>
          <w:b/>
          <w:i/>
          <w:sz w:val="22"/>
        </w:rPr>
        <w:t>Observation 1: OBW conducted measurement uncertainty in FR2 is slightly higher than in FR1</w:t>
      </w:r>
    </w:p>
    <w:p w:rsidR="0001559F" w:rsidRPr="00C60DB0" w:rsidRDefault="0001559F" w:rsidP="0001559F">
      <w:pPr>
        <w:spacing w:before="120" w:after="120"/>
        <w:rPr>
          <w:b/>
          <w:i/>
          <w:sz w:val="22"/>
        </w:rPr>
      </w:pPr>
      <w:r w:rsidRPr="00C60DB0">
        <w:rPr>
          <w:b/>
          <w:i/>
          <w:sz w:val="22"/>
        </w:rPr>
        <w:t>Proposal 1: Define OBW conducted measurement uncertainty as 2.2% of channel BW</w:t>
      </w:r>
    </w:p>
    <w:p w:rsidR="001F6703" w:rsidRPr="00C60DB0" w:rsidRDefault="001F6703" w:rsidP="001F6703">
      <w:pPr>
        <w:spacing w:before="120" w:after="120"/>
        <w:rPr>
          <w:b/>
          <w:i/>
          <w:sz w:val="22"/>
        </w:rPr>
      </w:pPr>
      <w:r w:rsidRPr="00C60DB0">
        <w:rPr>
          <w:b/>
          <w:i/>
          <w:sz w:val="22"/>
        </w:rPr>
        <w:t xml:space="preserve">Proposal 2: Define impact of </w:t>
      </w:r>
      <w:proofErr w:type="spellStart"/>
      <w:r w:rsidRPr="00C60DB0">
        <w:rPr>
          <w:b/>
          <w:i/>
          <w:sz w:val="22"/>
        </w:rPr>
        <w:t>QoQZ</w:t>
      </w:r>
      <w:proofErr w:type="spellEnd"/>
      <w:r w:rsidRPr="00C60DB0">
        <w:rPr>
          <w:b/>
          <w:i/>
          <w:sz w:val="22"/>
        </w:rPr>
        <w:t xml:space="preserve"> uncertainty for OBW test as 0.1% of channel BW</w:t>
      </w:r>
    </w:p>
    <w:p w:rsidR="001F6703" w:rsidRPr="00C60DB0" w:rsidRDefault="001F6703" w:rsidP="001F6703">
      <w:pPr>
        <w:spacing w:before="120" w:after="120"/>
        <w:rPr>
          <w:b/>
          <w:i/>
          <w:sz w:val="22"/>
        </w:rPr>
      </w:pPr>
      <w:r w:rsidRPr="00C60DB0">
        <w:rPr>
          <w:b/>
          <w:i/>
          <w:sz w:val="22"/>
        </w:rPr>
        <w:t>Proposal 3: Consider negligible impact on OBW uncertainty for MU terms listed in Table 2 above.</w:t>
      </w:r>
    </w:p>
    <w:p w:rsidR="001F6703" w:rsidRPr="00C60DB0" w:rsidRDefault="001F6703" w:rsidP="001F6703">
      <w:pPr>
        <w:spacing w:before="120" w:after="120"/>
        <w:rPr>
          <w:b/>
          <w:i/>
          <w:sz w:val="22"/>
        </w:rPr>
      </w:pPr>
      <w:r w:rsidRPr="00C60DB0">
        <w:rPr>
          <w:b/>
          <w:i/>
          <w:sz w:val="22"/>
        </w:rPr>
        <w:t>Proposal 4: Consider 0.41% of channel BW as the noise impact for OBW measurement.</w:t>
      </w:r>
    </w:p>
    <w:p w:rsidR="0083346C" w:rsidRPr="00C60DB0" w:rsidRDefault="0083346C" w:rsidP="0083346C">
      <w:pPr>
        <w:spacing w:before="120" w:after="120"/>
        <w:rPr>
          <w:b/>
          <w:i/>
          <w:sz w:val="22"/>
        </w:rPr>
      </w:pPr>
      <w:r w:rsidRPr="00C60DB0">
        <w:rPr>
          <w:b/>
          <w:i/>
          <w:sz w:val="22"/>
        </w:rPr>
        <w:t>Proposal 5: Consider 2.57% of channel BW as the OBW uncertainty for IFF for D=15cm and D=30 cm and include table 4 in TR 38.903.</w:t>
      </w:r>
    </w:p>
    <w:p w:rsidR="00D22D75" w:rsidRDefault="00783E33" w:rsidP="00D22D75">
      <w:pPr>
        <w:spacing w:before="120" w:after="120"/>
      </w:pPr>
      <w:r>
        <w:pict>
          <v:rect id="_x0000_i1026" style="width:482.05pt;height:1pt" o:hralign="center" o:hrstd="t" o:hrnoshade="t" o:hr="t" fillcolor="#0d0d0d" stroked="f">
            <v:textbox inset="5.85pt,.7pt,5.85pt,.7pt"/>
          </v:rect>
        </w:pict>
      </w:r>
    </w:p>
    <w:p w:rsidR="00D22D75" w:rsidRDefault="00D22D75" w:rsidP="00D22D75">
      <w:pPr>
        <w:pStyle w:val="tdoc-header"/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b/>
          <w:noProof w:val="0"/>
          <w:lang w:eastAsia="ja-JP"/>
        </w:rPr>
      </w:pPr>
      <w:r>
        <w:rPr>
          <w:rFonts w:hint="eastAsia"/>
          <w:b/>
          <w:noProof w:val="0"/>
          <w:lang w:eastAsia="ja-JP"/>
        </w:rPr>
        <w:t>4</w:t>
      </w:r>
      <w:r w:rsidRPr="00307851">
        <w:rPr>
          <w:b/>
          <w:noProof w:val="0"/>
        </w:rPr>
        <w:t>.</w:t>
      </w:r>
      <w:r w:rsidRPr="00307851">
        <w:rPr>
          <w:b/>
          <w:noProof w:val="0"/>
        </w:rPr>
        <w:tab/>
      </w:r>
      <w:r>
        <w:rPr>
          <w:rFonts w:hint="eastAsia"/>
          <w:b/>
          <w:noProof w:val="0"/>
          <w:lang w:eastAsia="ja-JP"/>
        </w:rPr>
        <w:t>References</w:t>
      </w:r>
    </w:p>
    <w:p w:rsidR="00D22D75" w:rsidRDefault="00D22D75" w:rsidP="00D22D75">
      <w:pPr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</w:pPr>
      <w:bookmarkStart w:id="4" w:name="_Ref521398402"/>
      <w:bookmarkStart w:id="5" w:name="_Ref520225792"/>
      <w:bookmarkStart w:id="6" w:name="_Hlk528392332"/>
      <w:r w:rsidRPr="00215AF4">
        <w:t>TR 38.</w:t>
      </w:r>
      <w:r>
        <w:t>903, “</w:t>
      </w:r>
      <w:r w:rsidRPr="00A16DA6">
        <w:t>NR; Derivation of test tolerances and measurement uncertainty for User Equipment (UE) conformance test cases</w:t>
      </w:r>
      <w:r>
        <w:t>”, V15.1.0 (2018-12)</w:t>
      </w:r>
      <w:bookmarkEnd w:id="4"/>
    </w:p>
    <w:p w:rsidR="00D22D75" w:rsidRDefault="00D22D75" w:rsidP="00D22D75">
      <w:pPr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</w:pPr>
      <w:bookmarkStart w:id="7" w:name="_Ref521612205"/>
      <w:bookmarkEnd w:id="5"/>
      <w:r>
        <w:t>R5-191005, “</w:t>
      </w:r>
      <w:r w:rsidRPr="00EA5E53">
        <w:rPr>
          <w:rFonts w:eastAsia="MS Mincho"/>
        </w:rPr>
        <w:t>CR to TR38.903 to update MU tables and element descriptions</w:t>
      </w:r>
      <w:r>
        <w:t xml:space="preserve">”, Keysight Technologies, </w:t>
      </w:r>
      <w:r w:rsidRPr="00A16DA6">
        <w:t>3GPP TSG</w:t>
      </w:r>
      <w:r>
        <w:t xml:space="preserve">-RAN WG5 Meeting #4-5G-NR </w:t>
      </w:r>
      <w:proofErr w:type="spellStart"/>
      <w:r>
        <w:t>Adhoc</w:t>
      </w:r>
      <w:proofErr w:type="spellEnd"/>
      <w:r>
        <w:t>, Singapore, Singapore, January 2019</w:t>
      </w:r>
    </w:p>
    <w:p w:rsidR="00D22D75" w:rsidRDefault="00840DCD" w:rsidP="00034E92">
      <w:pPr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</w:pPr>
      <w:r w:rsidRPr="00840DCD">
        <w:t>R5-191624</w:t>
      </w:r>
      <w:r w:rsidR="00D22D75">
        <w:t>, “</w:t>
      </w:r>
      <w:r w:rsidR="00034E92" w:rsidRPr="00034E92">
        <w:rPr>
          <w:rFonts w:eastAsia="MS Mincho"/>
        </w:rPr>
        <w:t xml:space="preserve">On </w:t>
      </w:r>
      <w:proofErr w:type="spellStart"/>
      <w:r w:rsidR="00034E92" w:rsidRPr="00034E92">
        <w:rPr>
          <w:rFonts w:eastAsia="MS Mincho"/>
        </w:rPr>
        <w:t>QoQZ</w:t>
      </w:r>
      <w:proofErr w:type="spellEnd"/>
      <w:r w:rsidR="00034E92" w:rsidRPr="00034E92">
        <w:rPr>
          <w:rFonts w:eastAsia="MS Mincho"/>
        </w:rPr>
        <w:t xml:space="preserve"> MU Impact on OBW Test Case</w:t>
      </w:r>
      <w:r w:rsidR="00D22D75">
        <w:t xml:space="preserve">”, </w:t>
      </w:r>
      <w:r w:rsidR="00A97A47">
        <w:t>Keysight Technologies</w:t>
      </w:r>
      <w:r w:rsidR="00D22D75">
        <w:t xml:space="preserve">, </w:t>
      </w:r>
      <w:r w:rsidR="00D22D75" w:rsidRPr="00A16DA6">
        <w:t>3GPP TSG</w:t>
      </w:r>
      <w:r w:rsidR="00D22D75">
        <w:t>-RAN WG5 Meeting #</w:t>
      </w:r>
      <w:r w:rsidR="00A97A47">
        <w:t>82</w:t>
      </w:r>
      <w:r w:rsidR="00D22D75">
        <w:t xml:space="preserve">, </w:t>
      </w:r>
      <w:r w:rsidR="00A97A47">
        <w:t>Athens</w:t>
      </w:r>
      <w:r w:rsidR="00D22D75">
        <w:t xml:space="preserve">, </w:t>
      </w:r>
      <w:r w:rsidR="00A97A47">
        <w:t>Greece</w:t>
      </w:r>
      <w:r w:rsidR="00D22D75">
        <w:t xml:space="preserve">, </w:t>
      </w:r>
      <w:r w:rsidR="00A97A47">
        <w:t>February</w:t>
      </w:r>
      <w:r w:rsidR="00D22D75">
        <w:t xml:space="preserve"> 2019</w:t>
      </w:r>
    </w:p>
    <w:bookmarkEnd w:id="6"/>
    <w:bookmarkEnd w:id="7"/>
    <w:p w:rsidR="0001559F" w:rsidRDefault="0001559F" w:rsidP="00E15574">
      <w:pPr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</w:pPr>
      <w:r w:rsidRPr="0001559F">
        <w:t>R5-190868</w:t>
      </w:r>
      <w:r>
        <w:t>, “</w:t>
      </w:r>
      <w:r w:rsidR="00E15574" w:rsidRPr="00E15574">
        <w:rPr>
          <w:rFonts w:eastAsia="MS Mincho"/>
        </w:rPr>
        <w:t>Discussion on ACLR MU</w:t>
      </w:r>
      <w:r>
        <w:t xml:space="preserve">”, </w:t>
      </w:r>
      <w:proofErr w:type="spellStart"/>
      <w:r w:rsidR="00E15574">
        <w:t>Rohde&amp;Schwarz</w:t>
      </w:r>
      <w:proofErr w:type="spellEnd"/>
      <w:r>
        <w:t xml:space="preserve">, </w:t>
      </w:r>
      <w:r w:rsidRPr="00A16DA6">
        <w:t>3GPP TSG</w:t>
      </w:r>
      <w:r>
        <w:t xml:space="preserve">-RAN WG5 Meeting #4-5G-NR </w:t>
      </w:r>
      <w:proofErr w:type="spellStart"/>
      <w:r>
        <w:t>Adhoc</w:t>
      </w:r>
      <w:proofErr w:type="spellEnd"/>
      <w:r>
        <w:t>, Singapore, Singapore, January 2019</w:t>
      </w:r>
    </w:p>
    <w:p w:rsidR="00E0353F" w:rsidRDefault="00E0353F" w:rsidP="00C538EE">
      <w:pPr>
        <w:tabs>
          <w:tab w:val="left" w:pos="426"/>
        </w:tabs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</w:pPr>
    </w:p>
    <w:p w:rsidR="00D22D75" w:rsidRPr="000C2198" w:rsidRDefault="00D22D75" w:rsidP="00D22D75">
      <w:pPr>
        <w:spacing w:before="120" w:after="120"/>
        <w:rPr>
          <w:rFonts w:eastAsia="MS Mincho"/>
        </w:rPr>
      </w:pPr>
    </w:p>
    <w:p w:rsidR="00A97A47" w:rsidRDefault="00A97A47">
      <w:pPr>
        <w:spacing w:before="120" w:after="120"/>
      </w:pPr>
    </w:p>
    <w:sectPr w:rsidR="00A97A47">
      <w:head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3E33" w:rsidRDefault="00783E33">
      <w:pPr>
        <w:spacing w:before="120" w:after="120"/>
      </w:pPr>
      <w:r>
        <w:separator/>
      </w:r>
    </w:p>
  </w:endnote>
  <w:endnote w:type="continuationSeparator" w:id="0">
    <w:p w:rsidR="00783E33" w:rsidRDefault="00783E33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12DF" w:rsidRDefault="00A37F69">
    <w:pPr>
      <w:pStyle w:val="Header"/>
      <w:tabs>
        <w:tab w:val="right" w:pos="9639"/>
      </w:tabs>
      <w:jc w:val="center"/>
    </w:pPr>
    <w:r>
      <w:t xml:space="preserve">Page </w:t>
    </w:r>
    <w:r>
      <w:fldChar w:fldCharType="begin"/>
    </w:r>
    <w:r>
      <w:instrText xml:space="preserve"> PAGE  \* MERGEFORMAT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3E33" w:rsidRDefault="00783E33">
      <w:pPr>
        <w:spacing w:before="120" w:after="120"/>
      </w:pPr>
      <w:r>
        <w:separator/>
      </w:r>
    </w:p>
  </w:footnote>
  <w:footnote w:type="continuationSeparator" w:id="0">
    <w:p w:rsidR="00783E33" w:rsidRDefault="00783E33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12DF" w:rsidRDefault="00A37F69" w:rsidP="00920DEF">
    <w:pPr>
      <w:spacing w:before="120" w:after="1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26085F"/>
    <w:multiLevelType w:val="hybridMultilevel"/>
    <w:tmpl w:val="3FFE66E6"/>
    <w:lvl w:ilvl="0" w:tplc="00783770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A62EA"/>
    <w:multiLevelType w:val="hybridMultilevel"/>
    <w:tmpl w:val="B5B6B190"/>
    <w:lvl w:ilvl="0" w:tplc="413876D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7D73D7"/>
    <w:multiLevelType w:val="hybridMultilevel"/>
    <w:tmpl w:val="8C7AC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2106AB"/>
    <w:multiLevelType w:val="hybridMultilevel"/>
    <w:tmpl w:val="16169966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390C526F"/>
    <w:multiLevelType w:val="hybridMultilevel"/>
    <w:tmpl w:val="6ABAFA14"/>
    <w:lvl w:ilvl="0" w:tplc="33F83FD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53024344"/>
    <w:multiLevelType w:val="hybridMultilevel"/>
    <w:tmpl w:val="B9D24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D75"/>
    <w:rsid w:val="0001559F"/>
    <w:rsid w:val="00034E92"/>
    <w:rsid w:val="00082145"/>
    <w:rsid w:val="000A6A2E"/>
    <w:rsid w:val="000D76A3"/>
    <w:rsid w:val="000E471D"/>
    <w:rsid w:val="001015BE"/>
    <w:rsid w:val="001F6703"/>
    <w:rsid w:val="00295F4A"/>
    <w:rsid w:val="00372A98"/>
    <w:rsid w:val="00430104"/>
    <w:rsid w:val="0053509D"/>
    <w:rsid w:val="00592F16"/>
    <w:rsid w:val="005E191B"/>
    <w:rsid w:val="0065265A"/>
    <w:rsid w:val="00690EBF"/>
    <w:rsid w:val="00783E33"/>
    <w:rsid w:val="007A46C4"/>
    <w:rsid w:val="0083346C"/>
    <w:rsid w:val="00840DCD"/>
    <w:rsid w:val="00A34BC2"/>
    <w:rsid w:val="00A37F69"/>
    <w:rsid w:val="00A97A47"/>
    <w:rsid w:val="00AA260F"/>
    <w:rsid w:val="00AB5AFB"/>
    <w:rsid w:val="00AD30D2"/>
    <w:rsid w:val="00AF59DD"/>
    <w:rsid w:val="00B56B07"/>
    <w:rsid w:val="00B763A3"/>
    <w:rsid w:val="00BC259B"/>
    <w:rsid w:val="00C361F5"/>
    <w:rsid w:val="00C36395"/>
    <w:rsid w:val="00C36BA8"/>
    <w:rsid w:val="00C538EE"/>
    <w:rsid w:val="00C60DB0"/>
    <w:rsid w:val="00C65F85"/>
    <w:rsid w:val="00C84269"/>
    <w:rsid w:val="00D0352F"/>
    <w:rsid w:val="00D22D75"/>
    <w:rsid w:val="00D64B42"/>
    <w:rsid w:val="00D65021"/>
    <w:rsid w:val="00DC201C"/>
    <w:rsid w:val="00E0353F"/>
    <w:rsid w:val="00E15574"/>
    <w:rsid w:val="00E2519F"/>
    <w:rsid w:val="00E46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3C0E6A"/>
  <w15:chartTrackingRefBased/>
  <w15:docId w15:val="{A9294825-38F5-4646-A223-6191E96AD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22D75"/>
    <w:pPr>
      <w:spacing w:beforeLines="50" w:before="50" w:afterLines="50" w:after="50" w:line="240" w:lineRule="auto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D22D7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22D75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TH">
    <w:name w:val="TH"/>
    <w:basedOn w:val="Normal"/>
    <w:qFormat/>
    <w:rsid w:val="00D22D7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next w:val="Normal"/>
    <w:link w:val="CRCoverPageChar"/>
    <w:rsid w:val="00D22D75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tdoc-header">
    <w:name w:val="tdoc-header"/>
    <w:rsid w:val="00D22D75"/>
    <w:pPr>
      <w:spacing w:after="0" w:line="240" w:lineRule="auto"/>
    </w:pPr>
    <w:rPr>
      <w:rFonts w:ascii="Arial" w:eastAsia="MS Mincho" w:hAnsi="Arial" w:cs="Times New Roman"/>
      <w:noProof/>
      <w:sz w:val="24"/>
      <w:szCs w:val="20"/>
      <w:lang w:val="en-GB"/>
    </w:rPr>
  </w:style>
  <w:style w:type="table" w:styleId="TableGrid">
    <w:name w:val="Table Grid"/>
    <w:basedOn w:val="TableNormal"/>
    <w:rsid w:val="00D22D7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rsid w:val="00D22D75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763A3"/>
    <w:pPr>
      <w:ind w:left="720"/>
      <w:contextualSpacing/>
    </w:p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rsid w:val="00B763A3"/>
    <w:pPr>
      <w:spacing w:beforeLines="0" w:before="120" w:afterLines="0" w:after="120"/>
    </w:pPr>
    <w:rPr>
      <w:rFonts w:eastAsia="Malgun Gothic"/>
      <w:b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B763A3"/>
    <w:rPr>
      <w:rFonts w:ascii="Times New Roman" w:eastAsia="Malgun Gothic" w:hAnsi="Times New Roman" w:cs="Times New Roman"/>
      <w:b/>
      <w:sz w:val="20"/>
      <w:szCs w:val="20"/>
      <w:lang w:val="en-GB"/>
    </w:rPr>
  </w:style>
  <w:style w:type="table" w:customStyle="1" w:styleId="Tabellengitternetz1">
    <w:name w:val="Tabellengitternetz1"/>
    <w:basedOn w:val="TableNormal"/>
    <w:next w:val="TableGrid"/>
    <w:rsid w:val="000155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37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1239</Words>
  <Characters>7068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Flores Fernandez</dc:creator>
  <cp:keywords/>
  <dc:description/>
  <cp:lastModifiedBy>Flores Fernandez</cp:lastModifiedBy>
  <cp:revision>3</cp:revision>
  <dcterms:created xsi:type="dcterms:W3CDTF">2019-02-16T00:37:00Z</dcterms:created>
  <dcterms:modified xsi:type="dcterms:W3CDTF">2019-02-16T00:40:00Z</dcterms:modified>
</cp:coreProperties>
</file>